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7121" w:rsidRDefault="00507121" w:rsidP="00507121">
      <w:pPr>
        <w:spacing w:after="0"/>
        <w:jc w:val="center"/>
        <w:rPr>
          <w:rFonts w:ascii="Arial" w:hAnsi="Arial" w:cs="Arial"/>
          <w:b/>
          <w:sz w:val="28"/>
          <w:szCs w:val="28"/>
        </w:rPr>
      </w:pPr>
    </w:p>
    <w:p w:rsidR="00507121" w:rsidRDefault="00507121" w:rsidP="00507121">
      <w:pPr>
        <w:spacing w:after="0"/>
        <w:jc w:val="center"/>
        <w:rPr>
          <w:rFonts w:ascii="Arial" w:hAnsi="Arial" w:cs="Arial"/>
          <w:b/>
          <w:sz w:val="28"/>
          <w:szCs w:val="28"/>
        </w:rPr>
      </w:pPr>
    </w:p>
    <w:p w:rsidR="00177BBE" w:rsidRDefault="00177BBE" w:rsidP="00507121">
      <w:pPr>
        <w:spacing w:after="0"/>
        <w:jc w:val="center"/>
        <w:rPr>
          <w:rFonts w:ascii="Arial" w:hAnsi="Arial" w:cs="Arial"/>
          <w:b/>
          <w:sz w:val="28"/>
          <w:szCs w:val="28"/>
        </w:rPr>
      </w:pPr>
    </w:p>
    <w:p w:rsidR="00177BBE" w:rsidRDefault="00177BBE" w:rsidP="00507121">
      <w:pPr>
        <w:spacing w:after="0"/>
        <w:jc w:val="center"/>
        <w:rPr>
          <w:rFonts w:ascii="Arial" w:hAnsi="Arial" w:cs="Arial"/>
          <w:b/>
          <w:sz w:val="28"/>
          <w:szCs w:val="28"/>
        </w:rPr>
      </w:pPr>
    </w:p>
    <w:p w:rsidR="006E0FBB" w:rsidRPr="003836C7" w:rsidRDefault="002063A6" w:rsidP="006E0FBB">
      <w:pPr>
        <w:spacing w:after="0"/>
        <w:jc w:val="center"/>
        <w:rPr>
          <w:rFonts w:ascii="Arial" w:hAnsi="Arial" w:cs="Arial"/>
          <w:b/>
          <w:sz w:val="32"/>
          <w:szCs w:val="32"/>
        </w:rPr>
      </w:pPr>
      <w:r>
        <w:rPr>
          <w:rFonts w:ascii="Arial" w:hAnsi="Arial" w:cs="Arial"/>
          <w:b/>
          <w:sz w:val="32"/>
          <w:szCs w:val="32"/>
        </w:rPr>
        <w:t>Western Australia</w:t>
      </w:r>
    </w:p>
    <w:p w:rsidR="00BF1EC3" w:rsidRPr="00BF1EC3" w:rsidRDefault="00BF1EC3" w:rsidP="00EC5711">
      <w:pPr>
        <w:spacing w:after="0"/>
        <w:jc w:val="center"/>
        <w:rPr>
          <w:rFonts w:ascii="Arial" w:hAnsi="Arial" w:cs="Arial"/>
          <w:b/>
          <w:sz w:val="28"/>
          <w:szCs w:val="28"/>
        </w:rPr>
      </w:pPr>
    </w:p>
    <w:p w:rsidR="005D2C2E" w:rsidRPr="00433831" w:rsidRDefault="00011BBB" w:rsidP="00D448C6">
      <w:pPr>
        <w:jc w:val="center"/>
        <w:rPr>
          <w:rFonts w:ascii="Arial" w:hAnsi="Arial" w:cs="Arial"/>
          <w:b/>
          <w:sz w:val="28"/>
          <w:szCs w:val="28"/>
          <w:u w:val="single"/>
        </w:rPr>
      </w:pPr>
      <w:r w:rsidRPr="00433831">
        <w:rPr>
          <w:rFonts w:ascii="Arial" w:eastAsia="Times New Roman" w:hAnsi="Arial" w:cs="Arial"/>
          <w:b/>
          <w:color w:val="000000"/>
          <w:sz w:val="28"/>
          <w:szCs w:val="28"/>
          <w:lang w:eastAsia="en-AU"/>
        </w:rPr>
        <w:t>Labour Force</w:t>
      </w:r>
      <w:r w:rsidR="00DE547A" w:rsidRPr="00433831">
        <w:rPr>
          <w:rFonts w:ascii="Arial" w:eastAsia="Times New Roman" w:hAnsi="Arial" w:cs="Arial"/>
          <w:b/>
          <w:color w:val="000000"/>
          <w:sz w:val="28"/>
          <w:szCs w:val="28"/>
          <w:lang w:eastAsia="en-AU"/>
        </w:rPr>
        <w:t xml:space="preserve"> (</w:t>
      </w:r>
      <w:r w:rsidR="00276567" w:rsidRPr="00433831">
        <w:rPr>
          <w:rFonts w:ascii="Arial" w:eastAsia="Times New Roman" w:hAnsi="Arial" w:cs="Arial"/>
          <w:b/>
          <w:color w:val="000000"/>
          <w:sz w:val="28"/>
          <w:szCs w:val="28"/>
          <w:lang w:eastAsia="en-AU"/>
        </w:rPr>
        <w:t xml:space="preserve">all persons aged </w:t>
      </w:r>
      <w:r w:rsidR="00DE547A" w:rsidRPr="00433831">
        <w:rPr>
          <w:rFonts w:ascii="Arial" w:eastAsia="Times New Roman" w:hAnsi="Arial" w:cs="Arial"/>
          <w:b/>
          <w:color w:val="000000"/>
          <w:sz w:val="28"/>
          <w:szCs w:val="28"/>
          <w:lang w:eastAsia="en-AU"/>
        </w:rPr>
        <w:t>15 years and over</w:t>
      </w:r>
      <w:r w:rsidR="009C247B" w:rsidRPr="00177BBE">
        <w:rPr>
          <w:rFonts w:ascii="Arial" w:eastAsia="Times New Roman" w:hAnsi="Arial" w:cs="Arial"/>
          <w:b/>
          <w:color w:val="000000"/>
          <w:sz w:val="28"/>
          <w:szCs w:val="28"/>
          <w:lang w:eastAsia="en-AU"/>
        </w:rPr>
        <w:t>)</w:t>
      </w:r>
    </w:p>
    <w:tbl>
      <w:tblPr>
        <w:tblStyle w:val="TableGrid"/>
        <w:tblW w:w="10490" w:type="dxa"/>
        <w:tblInd w:w="-743" w:type="dxa"/>
        <w:tblLayout w:type="fixed"/>
        <w:tblCellMar>
          <w:top w:w="11" w:type="dxa"/>
          <w:bottom w:w="11" w:type="dxa"/>
        </w:tblCellMar>
        <w:tblLook w:val="04A0" w:firstRow="1" w:lastRow="0" w:firstColumn="1" w:lastColumn="0" w:noHBand="0" w:noVBand="1"/>
      </w:tblPr>
      <w:tblGrid>
        <w:gridCol w:w="1844"/>
        <w:gridCol w:w="2126"/>
        <w:gridCol w:w="992"/>
        <w:gridCol w:w="1112"/>
        <w:gridCol w:w="2007"/>
        <w:gridCol w:w="1081"/>
        <w:gridCol w:w="1328"/>
      </w:tblGrid>
      <w:tr w:rsidR="00276567" w:rsidRPr="002E42CC" w:rsidTr="004252C1">
        <w:tc>
          <w:tcPr>
            <w:tcW w:w="1844" w:type="dxa"/>
            <w:tcBorders>
              <w:top w:val="nil"/>
              <w:left w:val="nil"/>
              <w:bottom w:val="nil"/>
            </w:tcBorders>
            <w:shd w:val="clear" w:color="auto" w:fill="FFFFFF" w:themeFill="background1"/>
          </w:tcPr>
          <w:p w:rsidR="00276567" w:rsidRPr="002E42CC" w:rsidRDefault="00276567" w:rsidP="001B6491">
            <w:pPr>
              <w:jc w:val="right"/>
              <w:rPr>
                <w:rFonts w:ascii="Arial" w:hAnsi="Arial" w:cs="Arial"/>
              </w:rPr>
            </w:pPr>
          </w:p>
        </w:tc>
        <w:tc>
          <w:tcPr>
            <w:tcW w:w="4230"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2011</w:t>
            </w:r>
          </w:p>
        </w:tc>
        <w:tc>
          <w:tcPr>
            <w:tcW w:w="4416" w:type="dxa"/>
            <w:gridSpan w:val="3"/>
            <w:shd w:val="clear" w:color="auto" w:fill="548DD4" w:themeFill="text2" w:themeFillTint="99"/>
            <w:vAlign w:val="center"/>
          </w:tcPr>
          <w:p w:rsidR="00276567" w:rsidRDefault="00276567" w:rsidP="001B6491">
            <w:pPr>
              <w:jc w:val="center"/>
              <w:rPr>
                <w:rFonts w:ascii="Arial" w:hAnsi="Arial" w:cs="Arial"/>
                <w:b/>
              </w:rPr>
            </w:pPr>
            <w:r>
              <w:rPr>
                <w:rFonts w:ascii="Arial" w:hAnsi="Arial" w:cs="Arial"/>
                <w:b/>
              </w:rPr>
              <w:t>2006</w:t>
            </w:r>
          </w:p>
        </w:tc>
      </w:tr>
      <w:tr w:rsidR="00276567" w:rsidRPr="002E42CC" w:rsidTr="004252C1">
        <w:tc>
          <w:tcPr>
            <w:tcW w:w="1844" w:type="dxa"/>
            <w:tcBorders>
              <w:top w:val="nil"/>
              <w:left w:val="nil"/>
            </w:tcBorders>
            <w:shd w:val="clear" w:color="auto" w:fill="FFFFFF" w:themeFill="background1"/>
          </w:tcPr>
          <w:p w:rsidR="00276567" w:rsidRPr="002F75D9" w:rsidRDefault="00276567" w:rsidP="001B6491">
            <w:pPr>
              <w:spacing w:before="60"/>
              <w:jc w:val="right"/>
              <w:rPr>
                <w:rFonts w:ascii="Arial" w:eastAsia="Times New Roman" w:hAnsi="Arial" w:cs="Arial"/>
                <w:color w:val="000000"/>
                <w:sz w:val="16"/>
                <w:szCs w:val="16"/>
                <w:lang w:eastAsia="en-AU"/>
              </w:rPr>
            </w:pPr>
          </w:p>
        </w:tc>
        <w:tc>
          <w:tcPr>
            <w:tcW w:w="2126" w:type="dxa"/>
            <w:shd w:val="clear" w:color="auto" w:fill="8DB3E2" w:themeFill="text2" w:themeFillTint="66"/>
            <w:vAlign w:val="center"/>
          </w:tcPr>
          <w:p w:rsidR="00276567" w:rsidRPr="00594664" w:rsidRDefault="00276567" w:rsidP="004252C1">
            <w:pPr>
              <w:jc w:val="right"/>
              <w:rPr>
                <w:rFonts w:ascii="Arial" w:hAnsi="Arial" w:cs="Arial"/>
                <w:b/>
                <w:color w:val="000000" w:themeColor="text1"/>
              </w:rPr>
            </w:pPr>
            <w:r>
              <w:rPr>
                <w:rFonts w:ascii="Arial" w:hAnsi="Arial" w:cs="Arial"/>
                <w:b/>
                <w:color w:val="000000" w:themeColor="text1"/>
              </w:rPr>
              <w:t>Total</w:t>
            </w:r>
          </w:p>
        </w:tc>
        <w:tc>
          <w:tcPr>
            <w:tcW w:w="992" w:type="dxa"/>
            <w:shd w:val="clear" w:color="auto" w:fill="8DB3E2" w:themeFill="text2" w:themeFillTint="66"/>
            <w:vAlign w:val="center"/>
          </w:tcPr>
          <w:p w:rsidR="00276567" w:rsidRPr="00594664" w:rsidRDefault="00276567" w:rsidP="004252C1">
            <w:pPr>
              <w:jc w:val="right"/>
              <w:rPr>
                <w:rFonts w:ascii="Arial" w:hAnsi="Arial" w:cs="Arial"/>
                <w:b/>
                <w:color w:val="000000" w:themeColor="text1"/>
              </w:rPr>
            </w:pPr>
            <w:r w:rsidRPr="00594664">
              <w:rPr>
                <w:rFonts w:ascii="Arial" w:hAnsi="Arial" w:cs="Arial"/>
                <w:b/>
                <w:color w:val="000000" w:themeColor="text1"/>
              </w:rPr>
              <w:t>Males</w:t>
            </w:r>
          </w:p>
        </w:tc>
        <w:tc>
          <w:tcPr>
            <w:tcW w:w="1112" w:type="dxa"/>
            <w:shd w:val="clear" w:color="auto" w:fill="8DB3E2" w:themeFill="text2" w:themeFillTint="66"/>
            <w:vAlign w:val="center"/>
          </w:tcPr>
          <w:p w:rsidR="00276567" w:rsidRPr="00594664" w:rsidRDefault="00276567" w:rsidP="004252C1">
            <w:pPr>
              <w:jc w:val="right"/>
              <w:rPr>
                <w:rFonts w:ascii="Arial" w:hAnsi="Arial" w:cs="Arial"/>
                <w:b/>
              </w:rPr>
            </w:pPr>
            <w:r w:rsidRPr="00594664">
              <w:rPr>
                <w:rFonts w:ascii="Arial" w:hAnsi="Arial" w:cs="Arial"/>
                <w:b/>
              </w:rPr>
              <w:t>Females</w:t>
            </w:r>
          </w:p>
        </w:tc>
        <w:tc>
          <w:tcPr>
            <w:tcW w:w="2007" w:type="dxa"/>
            <w:shd w:val="clear" w:color="auto" w:fill="8DB3E2" w:themeFill="text2" w:themeFillTint="66"/>
            <w:vAlign w:val="center"/>
          </w:tcPr>
          <w:p w:rsidR="00276567" w:rsidRPr="00594664" w:rsidRDefault="00276567" w:rsidP="004252C1">
            <w:pPr>
              <w:jc w:val="right"/>
              <w:rPr>
                <w:rFonts w:ascii="Arial" w:hAnsi="Arial" w:cs="Arial"/>
                <w:b/>
                <w:color w:val="000000" w:themeColor="text1"/>
              </w:rPr>
            </w:pPr>
            <w:r>
              <w:rPr>
                <w:rFonts w:ascii="Arial" w:hAnsi="Arial" w:cs="Arial"/>
                <w:b/>
                <w:color w:val="000000" w:themeColor="text1"/>
              </w:rPr>
              <w:t>Total</w:t>
            </w:r>
          </w:p>
        </w:tc>
        <w:tc>
          <w:tcPr>
            <w:tcW w:w="1081" w:type="dxa"/>
            <w:shd w:val="clear" w:color="auto" w:fill="8DB3E2" w:themeFill="text2" w:themeFillTint="66"/>
            <w:vAlign w:val="center"/>
          </w:tcPr>
          <w:p w:rsidR="00276567" w:rsidRPr="00594664" w:rsidRDefault="00276567" w:rsidP="004252C1">
            <w:pPr>
              <w:jc w:val="right"/>
              <w:rPr>
                <w:rFonts w:ascii="Arial" w:hAnsi="Arial" w:cs="Arial"/>
                <w:b/>
                <w:color w:val="000000" w:themeColor="text1"/>
              </w:rPr>
            </w:pPr>
            <w:r w:rsidRPr="00594664">
              <w:rPr>
                <w:rFonts w:ascii="Arial" w:hAnsi="Arial" w:cs="Arial"/>
                <w:b/>
                <w:color w:val="000000" w:themeColor="text1"/>
              </w:rPr>
              <w:t>Males</w:t>
            </w:r>
          </w:p>
        </w:tc>
        <w:tc>
          <w:tcPr>
            <w:tcW w:w="1328" w:type="dxa"/>
            <w:shd w:val="clear" w:color="auto" w:fill="8DB3E2" w:themeFill="text2" w:themeFillTint="66"/>
            <w:vAlign w:val="center"/>
          </w:tcPr>
          <w:p w:rsidR="00276567" w:rsidRPr="00594664" w:rsidRDefault="00276567" w:rsidP="004252C1">
            <w:pPr>
              <w:jc w:val="right"/>
              <w:rPr>
                <w:rFonts w:ascii="Arial" w:hAnsi="Arial" w:cs="Arial"/>
                <w:b/>
              </w:rPr>
            </w:pPr>
            <w:r w:rsidRPr="00594664">
              <w:rPr>
                <w:rFonts w:ascii="Arial" w:hAnsi="Arial" w:cs="Arial"/>
                <w:b/>
              </w:rPr>
              <w:t>Females</w:t>
            </w:r>
          </w:p>
        </w:tc>
      </w:tr>
      <w:tr w:rsidR="002063A6" w:rsidRPr="002E42CC" w:rsidTr="004252C1">
        <w:tc>
          <w:tcPr>
            <w:tcW w:w="1844"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in labour force</w:t>
            </w:r>
          </w:p>
        </w:tc>
        <w:tc>
          <w:tcPr>
            <w:tcW w:w="2126"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1,152,198</w:t>
            </w:r>
            <w:r w:rsidR="00A03386">
              <w:rPr>
                <w:rFonts w:ascii="Arial" w:hAnsi="Arial" w:cs="Arial"/>
                <w:sz w:val="16"/>
                <w:szCs w:val="16"/>
              </w:rPr>
              <w:t xml:space="preserve"> </w:t>
            </w:r>
            <w:r>
              <w:rPr>
                <w:rFonts w:ascii="Arial" w:hAnsi="Arial" w:cs="Arial"/>
                <w:sz w:val="16"/>
                <w:szCs w:val="16"/>
              </w:rPr>
              <w:t>(64.0%)</w:t>
            </w:r>
          </w:p>
        </w:tc>
        <w:tc>
          <w:tcPr>
            <w:tcW w:w="99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54.6%</w:t>
            </w:r>
          </w:p>
        </w:tc>
        <w:tc>
          <w:tcPr>
            <w:tcW w:w="111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45.4%</w:t>
            </w:r>
          </w:p>
        </w:tc>
        <w:tc>
          <w:tcPr>
            <w:tcW w:w="2007"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972,791(62.3%)</w:t>
            </w:r>
          </w:p>
        </w:tc>
        <w:tc>
          <w:tcPr>
            <w:tcW w:w="1081"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54.7%</w:t>
            </w:r>
          </w:p>
        </w:tc>
        <w:tc>
          <w:tcPr>
            <w:tcW w:w="1328"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45.3%</w:t>
            </w:r>
          </w:p>
        </w:tc>
      </w:tr>
      <w:tr w:rsidR="002063A6" w:rsidRPr="002E42CC" w:rsidTr="004252C1">
        <w:tc>
          <w:tcPr>
            <w:tcW w:w="1844"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full-time</w:t>
            </w:r>
          </w:p>
        </w:tc>
        <w:tc>
          <w:tcPr>
            <w:tcW w:w="2126"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699,414</w:t>
            </w:r>
            <w:r w:rsidR="00A03386">
              <w:rPr>
                <w:rFonts w:ascii="Arial" w:hAnsi="Arial" w:cs="Arial"/>
                <w:sz w:val="16"/>
                <w:szCs w:val="16"/>
              </w:rPr>
              <w:t xml:space="preserve"> </w:t>
            </w:r>
            <w:r>
              <w:rPr>
                <w:rFonts w:ascii="Arial" w:hAnsi="Arial" w:cs="Arial"/>
                <w:sz w:val="16"/>
                <w:szCs w:val="16"/>
              </w:rPr>
              <w:t>(38.9%)</w:t>
            </w:r>
          </w:p>
        </w:tc>
        <w:tc>
          <w:tcPr>
            <w:tcW w:w="99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65.8%</w:t>
            </w:r>
          </w:p>
        </w:tc>
        <w:tc>
          <w:tcPr>
            <w:tcW w:w="111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34.2%</w:t>
            </w:r>
          </w:p>
        </w:tc>
        <w:tc>
          <w:tcPr>
            <w:tcW w:w="2007"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593,674(38.0%)</w:t>
            </w:r>
          </w:p>
        </w:tc>
        <w:tc>
          <w:tcPr>
            <w:tcW w:w="1081"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66.3%</w:t>
            </w:r>
          </w:p>
        </w:tc>
        <w:tc>
          <w:tcPr>
            <w:tcW w:w="1328"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33.7%</w:t>
            </w:r>
          </w:p>
        </w:tc>
      </w:tr>
      <w:tr w:rsidR="002063A6" w:rsidRPr="002E42CC" w:rsidTr="004252C1">
        <w:tc>
          <w:tcPr>
            <w:tcW w:w="1844"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Employed part-time</w:t>
            </w:r>
          </w:p>
        </w:tc>
        <w:tc>
          <w:tcPr>
            <w:tcW w:w="2126"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324,257</w:t>
            </w:r>
            <w:r w:rsidR="00A03386">
              <w:rPr>
                <w:rFonts w:ascii="Arial" w:hAnsi="Arial" w:cs="Arial"/>
                <w:sz w:val="16"/>
                <w:szCs w:val="16"/>
              </w:rPr>
              <w:t xml:space="preserve"> </w:t>
            </w:r>
            <w:r>
              <w:rPr>
                <w:rFonts w:ascii="Arial" w:hAnsi="Arial" w:cs="Arial"/>
                <w:sz w:val="16"/>
                <w:szCs w:val="16"/>
              </w:rPr>
              <w:t>(18.0%)</w:t>
            </w:r>
          </w:p>
        </w:tc>
        <w:tc>
          <w:tcPr>
            <w:tcW w:w="99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31.0%</w:t>
            </w:r>
          </w:p>
        </w:tc>
        <w:tc>
          <w:tcPr>
            <w:tcW w:w="111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69.0%</w:t>
            </w:r>
          </w:p>
        </w:tc>
        <w:tc>
          <w:tcPr>
            <w:tcW w:w="2007"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275,949(17.7%)</w:t>
            </w:r>
          </w:p>
        </w:tc>
        <w:tc>
          <w:tcPr>
            <w:tcW w:w="1081"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30.2%</w:t>
            </w:r>
          </w:p>
        </w:tc>
        <w:tc>
          <w:tcPr>
            <w:tcW w:w="1328"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69.8%</w:t>
            </w:r>
          </w:p>
        </w:tc>
      </w:tr>
      <w:tr w:rsidR="002063A6" w:rsidRPr="002E42CC" w:rsidTr="004252C1">
        <w:tc>
          <w:tcPr>
            <w:tcW w:w="1844"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Unemployed, looking for work</w:t>
            </w:r>
          </w:p>
        </w:tc>
        <w:tc>
          <w:tcPr>
            <w:tcW w:w="2126"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54,317</w:t>
            </w:r>
            <w:r w:rsidR="00A03386">
              <w:rPr>
                <w:rFonts w:ascii="Arial" w:hAnsi="Arial" w:cs="Arial"/>
                <w:sz w:val="16"/>
                <w:szCs w:val="16"/>
              </w:rPr>
              <w:t xml:space="preserve"> </w:t>
            </w:r>
            <w:r>
              <w:rPr>
                <w:rFonts w:ascii="Arial" w:hAnsi="Arial" w:cs="Arial"/>
                <w:sz w:val="16"/>
                <w:szCs w:val="16"/>
              </w:rPr>
              <w:t>(3.0%)</w:t>
            </w:r>
          </w:p>
        </w:tc>
        <w:tc>
          <w:tcPr>
            <w:tcW w:w="99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52.7%</w:t>
            </w:r>
          </w:p>
        </w:tc>
        <w:tc>
          <w:tcPr>
            <w:tcW w:w="111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47.3%</w:t>
            </w:r>
          </w:p>
        </w:tc>
        <w:tc>
          <w:tcPr>
            <w:tcW w:w="2007"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36,659(2.3%)</w:t>
            </w:r>
          </w:p>
        </w:tc>
        <w:tc>
          <w:tcPr>
            <w:tcW w:w="1081"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51.7%</w:t>
            </w:r>
          </w:p>
        </w:tc>
        <w:tc>
          <w:tcPr>
            <w:tcW w:w="1328"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48.3%</w:t>
            </w:r>
          </w:p>
        </w:tc>
      </w:tr>
      <w:tr w:rsidR="002063A6" w:rsidRPr="002E42CC" w:rsidTr="004252C1">
        <w:tc>
          <w:tcPr>
            <w:tcW w:w="1844"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Population not in the labour force</w:t>
            </w:r>
          </w:p>
        </w:tc>
        <w:tc>
          <w:tcPr>
            <w:tcW w:w="2126"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529,554</w:t>
            </w:r>
            <w:r w:rsidR="00A03386">
              <w:rPr>
                <w:rFonts w:ascii="Arial" w:hAnsi="Arial" w:cs="Arial"/>
                <w:sz w:val="16"/>
                <w:szCs w:val="16"/>
              </w:rPr>
              <w:t xml:space="preserve"> </w:t>
            </w:r>
            <w:r>
              <w:rPr>
                <w:rFonts w:ascii="Arial" w:hAnsi="Arial" w:cs="Arial"/>
                <w:sz w:val="16"/>
                <w:szCs w:val="16"/>
              </w:rPr>
              <w:t>(29.4%)</w:t>
            </w:r>
          </w:p>
        </w:tc>
        <w:tc>
          <w:tcPr>
            <w:tcW w:w="99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38.7%</w:t>
            </w:r>
          </w:p>
        </w:tc>
        <w:tc>
          <w:tcPr>
            <w:tcW w:w="1112"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61.3%</w:t>
            </w:r>
          </w:p>
        </w:tc>
        <w:tc>
          <w:tcPr>
            <w:tcW w:w="2007"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478,245(30.6%)</w:t>
            </w:r>
          </w:p>
        </w:tc>
        <w:tc>
          <w:tcPr>
            <w:tcW w:w="1081"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37.7%</w:t>
            </w:r>
          </w:p>
        </w:tc>
        <w:tc>
          <w:tcPr>
            <w:tcW w:w="1328" w:type="dxa"/>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62.3%</w:t>
            </w:r>
          </w:p>
        </w:tc>
      </w:tr>
      <w:tr w:rsidR="002063A6" w:rsidRPr="002E42CC" w:rsidTr="004252C1">
        <w:tc>
          <w:tcPr>
            <w:tcW w:w="1844" w:type="dxa"/>
            <w:tcBorders>
              <w:bottom w:val="single" w:sz="4" w:space="0" w:color="auto"/>
            </w:tcBorders>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2126" w:type="dxa"/>
            <w:tcBorders>
              <w:bottom w:val="single" w:sz="4" w:space="0" w:color="auto"/>
            </w:tcBorders>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1,799,101</w:t>
            </w:r>
            <w:r w:rsidR="00A03386">
              <w:rPr>
                <w:rFonts w:ascii="Arial" w:hAnsi="Arial" w:cs="Arial"/>
                <w:sz w:val="16"/>
                <w:szCs w:val="16"/>
              </w:rPr>
              <w:t xml:space="preserve"> </w:t>
            </w:r>
            <w:r>
              <w:rPr>
                <w:rFonts w:ascii="Arial" w:hAnsi="Arial" w:cs="Arial"/>
                <w:sz w:val="16"/>
                <w:szCs w:val="16"/>
              </w:rPr>
              <w:t>(100.0%)</w:t>
            </w:r>
          </w:p>
        </w:tc>
        <w:tc>
          <w:tcPr>
            <w:tcW w:w="992" w:type="dxa"/>
            <w:tcBorders>
              <w:bottom w:val="single" w:sz="4" w:space="0" w:color="auto"/>
            </w:tcBorders>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50.0%</w:t>
            </w:r>
          </w:p>
        </w:tc>
        <w:tc>
          <w:tcPr>
            <w:tcW w:w="1112" w:type="dxa"/>
            <w:tcBorders>
              <w:bottom w:val="single" w:sz="4" w:space="0" w:color="auto"/>
            </w:tcBorders>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50.0%</w:t>
            </w:r>
          </w:p>
        </w:tc>
        <w:tc>
          <w:tcPr>
            <w:tcW w:w="2007" w:type="dxa"/>
            <w:tcBorders>
              <w:bottom w:val="single" w:sz="4" w:space="0" w:color="auto"/>
            </w:tcBorders>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1,562,653(100.0%)</w:t>
            </w:r>
          </w:p>
        </w:tc>
        <w:tc>
          <w:tcPr>
            <w:tcW w:w="1081" w:type="dxa"/>
            <w:tcBorders>
              <w:bottom w:val="single" w:sz="4" w:space="0" w:color="auto"/>
            </w:tcBorders>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49.4%</w:t>
            </w:r>
          </w:p>
        </w:tc>
        <w:tc>
          <w:tcPr>
            <w:tcW w:w="1328" w:type="dxa"/>
            <w:tcBorders>
              <w:bottom w:val="single" w:sz="4" w:space="0" w:color="auto"/>
            </w:tcBorders>
            <w:shd w:val="clear" w:color="auto" w:fill="C6D9F1" w:themeFill="text2" w:themeFillTint="33"/>
            <w:vAlign w:val="bottom"/>
          </w:tcPr>
          <w:p w:rsidR="002063A6" w:rsidRDefault="002063A6" w:rsidP="00177BBE">
            <w:pPr>
              <w:jc w:val="right"/>
              <w:rPr>
                <w:rFonts w:ascii="Arial" w:hAnsi="Arial" w:cs="Arial"/>
                <w:sz w:val="16"/>
                <w:szCs w:val="16"/>
              </w:rPr>
            </w:pPr>
            <w:r>
              <w:rPr>
                <w:rFonts w:ascii="Arial" w:hAnsi="Arial" w:cs="Arial"/>
                <w:sz w:val="16"/>
                <w:szCs w:val="16"/>
              </w:rPr>
              <w:t>50.6%</w:t>
            </w:r>
          </w:p>
        </w:tc>
      </w:tr>
    </w:tbl>
    <w:p w:rsidR="009C247B" w:rsidRPr="00184B1D" w:rsidRDefault="009C247B" w:rsidP="002A47EB">
      <w:pPr>
        <w:rPr>
          <w:rFonts w:ascii="Arial" w:hAnsi="Arial" w:cs="Arial"/>
          <w:b/>
          <w:sz w:val="18"/>
          <w:szCs w:val="18"/>
        </w:rPr>
      </w:pPr>
    </w:p>
    <w:p w:rsidR="002063A6" w:rsidRDefault="002063A6" w:rsidP="002063A6">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 xml:space="preserve">In 2011, </w:t>
      </w:r>
      <w:r>
        <w:rPr>
          <w:rFonts w:ascii="Arial" w:hAnsi="Arial" w:cs="Arial"/>
          <w:b/>
          <w:color w:val="4F81BD" w:themeColor="accent1"/>
          <w:sz w:val="18"/>
          <w:szCs w:val="18"/>
        </w:rPr>
        <w:t>64.0</w:t>
      </w:r>
      <w:r w:rsidRPr="005D7C5B">
        <w:rPr>
          <w:rFonts w:ascii="Arial" w:hAnsi="Arial" w:cs="Arial"/>
          <w:b/>
          <w:color w:val="4F81BD" w:themeColor="accent1"/>
          <w:sz w:val="18"/>
          <w:szCs w:val="18"/>
        </w:rPr>
        <w:t xml:space="preserve">% of </w:t>
      </w:r>
      <w:r>
        <w:rPr>
          <w:rFonts w:ascii="Arial" w:hAnsi="Arial" w:cs="Arial"/>
          <w:b/>
          <w:color w:val="4F81BD" w:themeColor="accent1"/>
          <w:sz w:val="18"/>
          <w:szCs w:val="18"/>
        </w:rPr>
        <w:t>persons</w:t>
      </w:r>
      <w:r w:rsidR="002A7F0F">
        <w:rPr>
          <w:rFonts w:ascii="Arial" w:hAnsi="Arial" w:cs="Arial"/>
          <w:b/>
          <w:color w:val="4F81BD" w:themeColor="accent1"/>
          <w:sz w:val="18"/>
          <w:szCs w:val="18"/>
        </w:rPr>
        <w:t xml:space="preserve"> in Western Australia</w:t>
      </w:r>
      <w:r w:rsidRPr="005D7C5B">
        <w:rPr>
          <w:rFonts w:ascii="Arial" w:hAnsi="Arial" w:cs="Arial"/>
          <w:b/>
          <w:color w:val="4F81BD" w:themeColor="accent1"/>
          <w:sz w:val="18"/>
          <w:szCs w:val="18"/>
        </w:rPr>
        <w:t xml:space="preserve"> aged 15 years and over </w:t>
      </w:r>
      <w:r>
        <w:rPr>
          <w:rFonts w:ascii="Arial" w:hAnsi="Arial" w:cs="Arial"/>
          <w:b/>
          <w:color w:val="4F81BD" w:themeColor="accent1"/>
          <w:sz w:val="18"/>
          <w:szCs w:val="18"/>
        </w:rPr>
        <w:t>reported being in the labour force</w:t>
      </w:r>
      <w:r w:rsidR="002A7F0F">
        <w:rPr>
          <w:rFonts w:ascii="Arial" w:hAnsi="Arial" w:cs="Arial"/>
          <w:b/>
          <w:color w:val="4F81BD" w:themeColor="accent1"/>
          <w:sz w:val="18"/>
          <w:szCs w:val="18"/>
        </w:rPr>
        <w:t xml:space="preserve">. </w:t>
      </w:r>
      <w:r>
        <w:rPr>
          <w:rFonts w:ascii="Arial" w:hAnsi="Arial" w:cs="Arial"/>
          <w:b/>
          <w:color w:val="4F81BD" w:themeColor="accent1"/>
          <w:sz w:val="18"/>
          <w:szCs w:val="18"/>
        </w:rPr>
        <w:t>Between 2006 and 2011, the proportion of those who reported being in the labour force increased by 1.7 percentage point, from 62.3% in 2006 to 64.0% in 2011.</w:t>
      </w:r>
    </w:p>
    <w:p w:rsidR="002063A6" w:rsidRDefault="002063A6" w:rsidP="002063A6">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 xml:space="preserve">In 2011, 29.4% of </w:t>
      </w:r>
      <w:r w:rsidR="00177BBE">
        <w:rPr>
          <w:rFonts w:ascii="Arial" w:hAnsi="Arial" w:cs="Arial"/>
          <w:b/>
          <w:color w:val="4F81BD" w:themeColor="accent1"/>
          <w:sz w:val="18"/>
          <w:szCs w:val="18"/>
        </w:rPr>
        <w:t>persons</w:t>
      </w:r>
      <w:r>
        <w:rPr>
          <w:rFonts w:ascii="Arial" w:hAnsi="Arial" w:cs="Arial"/>
          <w:b/>
          <w:color w:val="4F81BD" w:themeColor="accent1"/>
          <w:sz w:val="18"/>
          <w:szCs w:val="18"/>
        </w:rPr>
        <w:t xml:space="preserve"> aged 15 years and over reported </w:t>
      </w:r>
      <w:r w:rsidR="00177BBE">
        <w:rPr>
          <w:rFonts w:ascii="Arial" w:hAnsi="Arial" w:cs="Arial"/>
          <w:b/>
          <w:color w:val="4F81BD" w:themeColor="accent1"/>
          <w:sz w:val="18"/>
          <w:szCs w:val="18"/>
        </w:rPr>
        <w:t>that they were not</w:t>
      </w:r>
      <w:r>
        <w:rPr>
          <w:rFonts w:ascii="Arial" w:hAnsi="Arial" w:cs="Arial"/>
          <w:b/>
          <w:color w:val="4F81BD" w:themeColor="accent1"/>
          <w:sz w:val="18"/>
          <w:szCs w:val="18"/>
        </w:rPr>
        <w:t xml:space="preserve"> in the labour force. This proportion has declined by 1.2 percentage point from 2006</w:t>
      </w:r>
      <w:r w:rsidR="00177BBE">
        <w:rPr>
          <w:rFonts w:ascii="Arial" w:hAnsi="Arial" w:cs="Arial"/>
          <w:b/>
          <w:color w:val="4F81BD" w:themeColor="accent1"/>
          <w:sz w:val="18"/>
          <w:szCs w:val="18"/>
        </w:rPr>
        <w:t>,</w:t>
      </w:r>
      <w:r>
        <w:rPr>
          <w:rFonts w:ascii="Arial" w:hAnsi="Arial" w:cs="Arial"/>
          <w:b/>
          <w:color w:val="4F81BD" w:themeColor="accent1"/>
          <w:sz w:val="18"/>
          <w:szCs w:val="18"/>
        </w:rPr>
        <w:t xml:space="preserve"> when 30.6% of the population reported not being in</w:t>
      </w:r>
      <w:r w:rsidR="00177BBE">
        <w:rPr>
          <w:rFonts w:ascii="Arial" w:hAnsi="Arial" w:cs="Arial"/>
          <w:b/>
          <w:color w:val="4F81BD" w:themeColor="accent1"/>
          <w:sz w:val="18"/>
          <w:szCs w:val="18"/>
        </w:rPr>
        <w:t xml:space="preserve"> the</w:t>
      </w:r>
      <w:r>
        <w:rPr>
          <w:rFonts w:ascii="Arial" w:hAnsi="Arial" w:cs="Arial"/>
          <w:b/>
          <w:color w:val="4F81BD" w:themeColor="accent1"/>
          <w:sz w:val="18"/>
          <w:szCs w:val="18"/>
        </w:rPr>
        <w:t xml:space="preserve"> labour force.</w:t>
      </w:r>
    </w:p>
    <w:p w:rsidR="002063A6" w:rsidRPr="005D7C5B" w:rsidRDefault="00177BBE" w:rsidP="002063A6">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In 2011,</w:t>
      </w:r>
      <w:r w:rsidR="002063A6">
        <w:rPr>
          <w:rFonts w:ascii="Arial" w:hAnsi="Arial" w:cs="Arial"/>
          <w:b/>
          <w:color w:val="4F81BD" w:themeColor="accent1"/>
          <w:sz w:val="18"/>
          <w:szCs w:val="18"/>
        </w:rPr>
        <w:t xml:space="preserve"> 3.0% of persons </w:t>
      </w:r>
      <w:r>
        <w:rPr>
          <w:rFonts w:ascii="Arial" w:hAnsi="Arial" w:cs="Arial"/>
          <w:b/>
          <w:color w:val="4F81BD" w:themeColor="accent1"/>
          <w:sz w:val="18"/>
          <w:szCs w:val="18"/>
        </w:rPr>
        <w:t>aged 15 years and over</w:t>
      </w:r>
      <w:r w:rsidR="002063A6">
        <w:rPr>
          <w:rFonts w:ascii="Arial" w:hAnsi="Arial" w:cs="Arial"/>
          <w:b/>
          <w:color w:val="4F81BD" w:themeColor="accent1"/>
          <w:sz w:val="18"/>
          <w:szCs w:val="18"/>
        </w:rPr>
        <w:t xml:space="preserve"> reported being unemployed and looking for work. In 2006 the proportion of </w:t>
      </w:r>
      <w:r w:rsidR="00184B1D">
        <w:rPr>
          <w:rFonts w:ascii="Arial" w:hAnsi="Arial" w:cs="Arial"/>
          <w:b/>
          <w:color w:val="4F81BD" w:themeColor="accent1"/>
          <w:sz w:val="18"/>
          <w:szCs w:val="18"/>
        </w:rPr>
        <w:t>persons aged 15 years and over who reported</w:t>
      </w:r>
      <w:r w:rsidR="002063A6">
        <w:rPr>
          <w:rFonts w:ascii="Arial" w:hAnsi="Arial" w:cs="Arial"/>
          <w:b/>
          <w:color w:val="4F81BD" w:themeColor="accent1"/>
          <w:sz w:val="18"/>
          <w:szCs w:val="18"/>
        </w:rPr>
        <w:t xml:space="preserve"> being unemployed and looking for work was lower at 2.3%.</w:t>
      </w:r>
    </w:p>
    <w:p w:rsidR="002063A6" w:rsidRDefault="002063A6" w:rsidP="002063A6">
      <w:pPr>
        <w:pStyle w:val="ListParagraph"/>
        <w:numPr>
          <w:ilvl w:val="0"/>
          <w:numId w:val="5"/>
        </w:numPr>
        <w:rPr>
          <w:rFonts w:ascii="Arial" w:hAnsi="Arial" w:cs="Arial"/>
          <w:b/>
          <w:color w:val="4F81BD" w:themeColor="accent1"/>
          <w:sz w:val="18"/>
          <w:szCs w:val="18"/>
        </w:rPr>
      </w:pPr>
      <w:r w:rsidRPr="005D7C5B">
        <w:rPr>
          <w:rFonts w:ascii="Arial" w:hAnsi="Arial" w:cs="Arial"/>
          <w:b/>
          <w:color w:val="4F81BD" w:themeColor="accent1"/>
          <w:sz w:val="18"/>
          <w:szCs w:val="18"/>
        </w:rPr>
        <w:t>Of those who reported being employed full</w:t>
      </w:r>
      <w:r w:rsidR="00184B1D">
        <w:rPr>
          <w:rFonts w:ascii="Arial" w:hAnsi="Arial" w:cs="Arial"/>
          <w:b/>
          <w:color w:val="4F81BD" w:themeColor="accent1"/>
          <w:sz w:val="18"/>
          <w:szCs w:val="18"/>
        </w:rPr>
        <w:t>-</w:t>
      </w:r>
      <w:r w:rsidRPr="005D7C5B">
        <w:rPr>
          <w:rFonts w:ascii="Arial" w:hAnsi="Arial" w:cs="Arial"/>
          <w:b/>
          <w:color w:val="4F81BD" w:themeColor="accent1"/>
          <w:sz w:val="18"/>
          <w:szCs w:val="18"/>
        </w:rPr>
        <w:t>time</w:t>
      </w:r>
      <w:r>
        <w:rPr>
          <w:rFonts w:ascii="Arial" w:hAnsi="Arial" w:cs="Arial"/>
          <w:b/>
          <w:color w:val="4F81BD" w:themeColor="accent1"/>
          <w:sz w:val="18"/>
          <w:szCs w:val="18"/>
        </w:rPr>
        <w:t>,</w:t>
      </w:r>
      <w:r w:rsidRPr="005D7C5B">
        <w:rPr>
          <w:rFonts w:ascii="Arial" w:hAnsi="Arial" w:cs="Arial"/>
          <w:b/>
          <w:color w:val="4F81BD" w:themeColor="accent1"/>
          <w:sz w:val="18"/>
          <w:szCs w:val="18"/>
        </w:rPr>
        <w:t xml:space="preserve"> </w:t>
      </w:r>
      <w:r>
        <w:rPr>
          <w:rFonts w:ascii="Arial" w:hAnsi="Arial" w:cs="Arial"/>
          <w:b/>
          <w:color w:val="4F81BD" w:themeColor="accent1"/>
          <w:sz w:val="18"/>
          <w:szCs w:val="18"/>
        </w:rPr>
        <w:t>65.8</w:t>
      </w:r>
      <w:r w:rsidRPr="005D7C5B">
        <w:rPr>
          <w:rFonts w:ascii="Arial" w:hAnsi="Arial" w:cs="Arial"/>
          <w:b/>
          <w:color w:val="4F81BD" w:themeColor="accent1"/>
          <w:sz w:val="18"/>
          <w:szCs w:val="18"/>
        </w:rPr>
        <w:t>% we</w:t>
      </w:r>
      <w:r>
        <w:rPr>
          <w:rFonts w:ascii="Arial" w:hAnsi="Arial" w:cs="Arial"/>
          <w:b/>
          <w:color w:val="4F81BD" w:themeColor="accent1"/>
          <w:sz w:val="18"/>
          <w:szCs w:val="18"/>
        </w:rPr>
        <w:t>re males and 34.2% were females.</w:t>
      </w:r>
    </w:p>
    <w:p w:rsidR="002A47EB" w:rsidRPr="002063A6" w:rsidRDefault="002063A6" w:rsidP="002063A6">
      <w:pPr>
        <w:pStyle w:val="ListParagraph"/>
        <w:numPr>
          <w:ilvl w:val="0"/>
          <w:numId w:val="5"/>
        </w:numPr>
        <w:rPr>
          <w:rFonts w:ascii="Arial" w:hAnsi="Arial" w:cs="Arial"/>
          <w:b/>
          <w:color w:val="4F81BD" w:themeColor="accent1"/>
          <w:sz w:val="18"/>
          <w:szCs w:val="18"/>
        </w:rPr>
      </w:pPr>
      <w:r w:rsidRPr="002063A6">
        <w:rPr>
          <w:rFonts w:ascii="Arial" w:hAnsi="Arial" w:cs="Arial"/>
          <w:b/>
          <w:color w:val="4F81BD" w:themeColor="accent1"/>
          <w:sz w:val="18"/>
          <w:szCs w:val="18"/>
        </w:rPr>
        <w:t>Of those who reported being employed part-time, 31.0% were males and 69.0% were females.</w:t>
      </w:r>
    </w:p>
    <w:p w:rsidR="00184B1D" w:rsidRDefault="00184B1D">
      <w:pPr>
        <w:rPr>
          <w:rFonts w:ascii="Arial" w:eastAsia="Times New Roman" w:hAnsi="Arial" w:cs="Arial"/>
          <w:b/>
          <w:color w:val="000000"/>
          <w:sz w:val="28"/>
          <w:szCs w:val="28"/>
          <w:lang w:eastAsia="en-AU"/>
        </w:rPr>
      </w:pPr>
      <w:r>
        <w:rPr>
          <w:rFonts w:ascii="Arial" w:eastAsia="Times New Roman" w:hAnsi="Arial" w:cs="Arial"/>
          <w:b/>
          <w:color w:val="000000"/>
          <w:sz w:val="28"/>
          <w:szCs w:val="28"/>
          <w:lang w:eastAsia="en-AU"/>
        </w:rPr>
        <w:br w:type="page"/>
      </w:r>
    </w:p>
    <w:p w:rsidR="00184B1D" w:rsidRDefault="00184B1D" w:rsidP="00011BBB">
      <w:pPr>
        <w:jc w:val="center"/>
        <w:rPr>
          <w:rFonts w:ascii="Arial" w:eastAsia="Times New Roman" w:hAnsi="Arial" w:cs="Arial"/>
          <w:b/>
          <w:color w:val="000000"/>
          <w:sz w:val="28"/>
          <w:szCs w:val="28"/>
          <w:lang w:eastAsia="en-AU"/>
        </w:rPr>
      </w:pPr>
    </w:p>
    <w:p w:rsidR="00184B1D" w:rsidRDefault="00184B1D" w:rsidP="00011BBB">
      <w:pPr>
        <w:jc w:val="center"/>
        <w:rPr>
          <w:rFonts w:ascii="Arial" w:eastAsia="Times New Roman" w:hAnsi="Arial" w:cs="Arial"/>
          <w:b/>
          <w:color w:val="000000"/>
          <w:sz w:val="28"/>
          <w:szCs w:val="28"/>
          <w:lang w:eastAsia="en-AU"/>
        </w:rPr>
      </w:pPr>
    </w:p>
    <w:p w:rsidR="00184B1D" w:rsidRDefault="00184B1D" w:rsidP="00184B1D">
      <w:pPr>
        <w:spacing w:after="0"/>
        <w:jc w:val="center"/>
        <w:rPr>
          <w:rFonts w:ascii="Arial" w:hAnsi="Arial" w:cs="Arial"/>
          <w:b/>
          <w:sz w:val="28"/>
          <w:szCs w:val="28"/>
        </w:rPr>
      </w:pPr>
    </w:p>
    <w:p w:rsidR="00184B1D" w:rsidRDefault="00184B1D" w:rsidP="00184B1D">
      <w:pPr>
        <w:spacing w:after="0"/>
        <w:jc w:val="center"/>
        <w:rPr>
          <w:rFonts w:ascii="Arial" w:hAnsi="Arial" w:cs="Arial"/>
          <w:b/>
          <w:sz w:val="28"/>
          <w:szCs w:val="28"/>
        </w:rPr>
      </w:pPr>
    </w:p>
    <w:p w:rsidR="00184B1D" w:rsidRPr="003836C7" w:rsidRDefault="00184B1D" w:rsidP="00184B1D">
      <w:pPr>
        <w:spacing w:after="0"/>
        <w:jc w:val="center"/>
        <w:rPr>
          <w:rFonts w:ascii="Arial" w:hAnsi="Arial" w:cs="Arial"/>
          <w:b/>
          <w:sz w:val="32"/>
          <w:szCs w:val="32"/>
        </w:rPr>
      </w:pPr>
      <w:r>
        <w:rPr>
          <w:rFonts w:ascii="Arial" w:hAnsi="Arial" w:cs="Arial"/>
          <w:b/>
          <w:sz w:val="32"/>
          <w:szCs w:val="32"/>
        </w:rPr>
        <w:t>Western Australia</w:t>
      </w:r>
    </w:p>
    <w:p w:rsidR="00184B1D" w:rsidRPr="00BF1EC3" w:rsidRDefault="00184B1D" w:rsidP="00184B1D">
      <w:pPr>
        <w:spacing w:after="0"/>
        <w:jc w:val="center"/>
        <w:rPr>
          <w:rFonts w:ascii="Arial" w:hAnsi="Arial" w:cs="Arial"/>
          <w:b/>
          <w:sz w:val="28"/>
          <w:szCs w:val="28"/>
        </w:rPr>
      </w:pPr>
    </w:p>
    <w:p w:rsidR="005D2C2E" w:rsidRPr="00433831" w:rsidRDefault="00011BBB" w:rsidP="00011BBB">
      <w:pPr>
        <w:jc w:val="center"/>
        <w:rPr>
          <w:rFonts w:ascii="Arial" w:hAnsi="Arial" w:cs="Arial"/>
          <w:b/>
          <w:sz w:val="28"/>
          <w:szCs w:val="28"/>
        </w:rPr>
      </w:pPr>
      <w:r w:rsidRPr="00433831">
        <w:rPr>
          <w:rFonts w:ascii="Arial" w:eastAsia="Times New Roman" w:hAnsi="Arial" w:cs="Arial"/>
          <w:b/>
          <w:color w:val="000000"/>
          <w:sz w:val="28"/>
          <w:szCs w:val="28"/>
          <w:lang w:eastAsia="en-AU"/>
        </w:rPr>
        <w:t>Weekly Hours Worked</w:t>
      </w:r>
      <w:r w:rsidR="00B5694C" w:rsidRPr="00433831">
        <w:rPr>
          <w:rFonts w:ascii="Arial" w:eastAsia="Times New Roman" w:hAnsi="Arial" w:cs="Arial"/>
          <w:b/>
          <w:color w:val="000000"/>
          <w:sz w:val="28"/>
          <w:szCs w:val="28"/>
          <w:lang w:eastAsia="en-AU"/>
        </w:rPr>
        <w:t xml:space="preserve"> (employed persons aged 15 years and over)</w:t>
      </w:r>
    </w:p>
    <w:tbl>
      <w:tblPr>
        <w:tblStyle w:val="TableGrid"/>
        <w:tblW w:w="10490" w:type="dxa"/>
        <w:tblInd w:w="-743" w:type="dxa"/>
        <w:tblLook w:val="04A0" w:firstRow="1" w:lastRow="0" w:firstColumn="1" w:lastColumn="0" w:noHBand="0" w:noVBand="1"/>
      </w:tblPr>
      <w:tblGrid>
        <w:gridCol w:w="1985"/>
        <w:gridCol w:w="1985"/>
        <w:gridCol w:w="992"/>
        <w:gridCol w:w="1106"/>
        <w:gridCol w:w="1871"/>
        <w:gridCol w:w="1276"/>
        <w:gridCol w:w="1275"/>
      </w:tblGrid>
      <w:tr w:rsidR="005D2C2E" w:rsidRPr="002E42CC" w:rsidTr="001B6491">
        <w:tc>
          <w:tcPr>
            <w:tcW w:w="1985" w:type="dxa"/>
            <w:tcBorders>
              <w:top w:val="nil"/>
              <w:left w:val="nil"/>
              <w:bottom w:val="nil"/>
            </w:tcBorders>
            <w:shd w:val="clear" w:color="auto" w:fill="FFFFFF" w:themeFill="background1"/>
          </w:tcPr>
          <w:p w:rsidR="005D2C2E" w:rsidRPr="002E42CC" w:rsidRDefault="005D2C2E" w:rsidP="00B84AA5">
            <w:pPr>
              <w:spacing w:before="60"/>
              <w:jc w:val="center"/>
              <w:rPr>
                <w:rFonts w:ascii="Arial" w:eastAsia="Times New Roman" w:hAnsi="Arial" w:cs="Arial"/>
                <w:color w:val="000000"/>
                <w:lang w:eastAsia="en-AU"/>
              </w:rPr>
            </w:pPr>
          </w:p>
        </w:tc>
        <w:tc>
          <w:tcPr>
            <w:tcW w:w="4083"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2011</w:t>
            </w:r>
          </w:p>
        </w:tc>
        <w:tc>
          <w:tcPr>
            <w:tcW w:w="4422" w:type="dxa"/>
            <w:gridSpan w:val="3"/>
            <w:shd w:val="clear" w:color="auto" w:fill="548DD4" w:themeFill="text2" w:themeFillTint="99"/>
          </w:tcPr>
          <w:p w:rsidR="005D2C2E" w:rsidRPr="000A21E0" w:rsidRDefault="005D2C2E" w:rsidP="00B84AA5">
            <w:pPr>
              <w:jc w:val="center"/>
              <w:rPr>
                <w:rFonts w:ascii="Arial" w:hAnsi="Arial" w:cs="Arial"/>
                <w:b/>
              </w:rPr>
            </w:pPr>
            <w:r w:rsidRPr="000A21E0">
              <w:rPr>
                <w:rFonts w:ascii="Arial" w:hAnsi="Arial" w:cs="Arial"/>
                <w:b/>
              </w:rPr>
              <w:t>2006</w:t>
            </w:r>
          </w:p>
        </w:tc>
      </w:tr>
      <w:tr w:rsidR="00011BBB" w:rsidRPr="002E42CC" w:rsidTr="004252C1">
        <w:tc>
          <w:tcPr>
            <w:tcW w:w="1985" w:type="dxa"/>
            <w:tcBorders>
              <w:top w:val="nil"/>
              <w:left w:val="nil"/>
            </w:tcBorders>
            <w:shd w:val="clear" w:color="auto" w:fill="FFFFFF" w:themeFill="background1"/>
            <w:vAlign w:val="center"/>
          </w:tcPr>
          <w:p w:rsidR="00011BBB" w:rsidRPr="000A21E0" w:rsidRDefault="00011BBB" w:rsidP="00B84AA5">
            <w:pPr>
              <w:spacing w:before="60"/>
              <w:jc w:val="center"/>
              <w:rPr>
                <w:rFonts w:ascii="Arial" w:eastAsia="Times New Roman" w:hAnsi="Arial" w:cs="Arial"/>
                <w:color w:val="000000"/>
                <w:sz w:val="18"/>
                <w:szCs w:val="18"/>
                <w:lang w:eastAsia="en-AU"/>
              </w:rPr>
            </w:pPr>
          </w:p>
        </w:tc>
        <w:tc>
          <w:tcPr>
            <w:tcW w:w="1985" w:type="dxa"/>
            <w:shd w:val="clear" w:color="auto" w:fill="8DB3E2" w:themeFill="text2" w:themeFillTint="66"/>
            <w:vAlign w:val="center"/>
          </w:tcPr>
          <w:p w:rsidR="00011BBB" w:rsidRPr="002E42CC" w:rsidRDefault="00011BBB" w:rsidP="004252C1">
            <w:pPr>
              <w:jc w:val="right"/>
              <w:rPr>
                <w:rFonts w:ascii="Arial" w:hAnsi="Arial" w:cs="Arial"/>
                <w:b/>
              </w:rPr>
            </w:pPr>
            <w:r w:rsidRPr="002E42CC">
              <w:rPr>
                <w:rFonts w:ascii="Arial" w:hAnsi="Arial" w:cs="Arial"/>
                <w:b/>
              </w:rPr>
              <w:t>Total</w:t>
            </w:r>
          </w:p>
        </w:tc>
        <w:tc>
          <w:tcPr>
            <w:tcW w:w="992" w:type="dxa"/>
            <w:shd w:val="clear" w:color="auto" w:fill="8DB3E2" w:themeFill="text2" w:themeFillTint="66"/>
            <w:vAlign w:val="center"/>
          </w:tcPr>
          <w:p w:rsidR="00011BBB" w:rsidRPr="002E42CC" w:rsidRDefault="00011BBB" w:rsidP="004252C1">
            <w:pPr>
              <w:jc w:val="right"/>
              <w:rPr>
                <w:rFonts w:ascii="Arial" w:hAnsi="Arial" w:cs="Arial"/>
                <w:b/>
              </w:rPr>
            </w:pPr>
            <w:r w:rsidRPr="002E42CC">
              <w:rPr>
                <w:rFonts w:ascii="Arial" w:hAnsi="Arial" w:cs="Arial"/>
                <w:b/>
              </w:rPr>
              <w:t>Male</w:t>
            </w:r>
            <w:r w:rsidR="00276567">
              <w:rPr>
                <w:rFonts w:ascii="Arial" w:hAnsi="Arial" w:cs="Arial"/>
                <w:b/>
              </w:rPr>
              <w:t>s</w:t>
            </w:r>
          </w:p>
        </w:tc>
        <w:tc>
          <w:tcPr>
            <w:tcW w:w="1106" w:type="dxa"/>
            <w:shd w:val="clear" w:color="auto" w:fill="8DB3E2" w:themeFill="text2" w:themeFillTint="66"/>
            <w:vAlign w:val="center"/>
          </w:tcPr>
          <w:p w:rsidR="00011BBB" w:rsidRPr="002E42CC" w:rsidRDefault="00011BBB" w:rsidP="004252C1">
            <w:pPr>
              <w:jc w:val="right"/>
              <w:rPr>
                <w:rFonts w:ascii="Arial" w:hAnsi="Arial" w:cs="Arial"/>
                <w:b/>
              </w:rPr>
            </w:pPr>
            <w:r w:rsidRPr="002E42CC">
              <w:rPr>
                <w:rFonts w:ascii="Arial" w:hAnsi="Arial" w:cs="Arial"/>
                <w:b/>
              </w:rPr>
              <w:t>Female</w:t>
            </w:r>
            <w:r w:rsidR="00276567">
              <w:rPr>
                <w:rFonts w:ascii="Arial" w:hAnsi="Arial" w:cs="Arial"/>
                <w:b/>
              </w:rPr>
              <w:t>s</w:t>
            </w:r>
          </w:p>
        </w:tc>
        <w:tc>
          <w:tcPr>
            <w:tcW w:w="1871" w:type="dxa"/>
            <w:shd w:val="clear" w:color="auto" w:fill="8DB3E2" w:themeFill="text2" w:themeFillTint="66"/>
            <w:vAlign w:val="center"/>
          </w:tcPr>
          <w:p w:rsidR="00011BBB" w:rsidRPr="002E42CC" w:rsidRDefault="00011BBB" w:rsidP="004252C1">
            <w:pPr>
              <w:jc w:val="right"/>
              <w:rPr>
                <w:rFonts w:ascii="Arial" w:hAnsi="Arial" w:cs="Arial"/>
                <w:b/>
              </w:rPr>
            </w:pPr>
            <w:r w:rsidRPr="002E42CC">
              <w:rPr>
                <w:rFonts w:ascii="Arial" w:hAnsi="Arial" w:cs="Arial"/>
                <w:b/>
              </w:rPr>
              <w:t>Total</w:t>
            </w:r>
          </w:p>
        </w:tc>
        <w:tc>
          <w:tcPr>
            <w:tcW w:w="1276" w:type="dxa"/>
            <w:shd w:val="clear" w:color="auto" w:fill="8DB3E2" w:themeFill="text2" w:themeFillTint="66"/>
            <w:vAlign w:val="center"/>
          </w:tcPr>
          <w:p w:rsidR="00011BBB" w:rsidRPr="002E42CC" w:rsidRDefault="00011BBB" w:rsidP="004252C1">
            <w:pPr>
              <w:jc w:val="right"/>
              <w:rPr>
                <w:rFonts w:ascii="Arial" w:hAnsi="Arial" w:cs="Arial"/>
                <w:b/>
              </w:rPr>
            </w:pPr>
            <w:r w:rsidRPr="002E42CC">
              <w:rPr>
                <w:rFonts w:ascii="Arial" w:hAnsi="Arial" w:cs="Arial"/>
                <w:b/>
              </w:rPr>
              <w:t>Male</w:t>
            </w:r>
            <w:r w:rsidR="00276567">
              <w:rPr>
                <w:rFonts w:ascii="Arial" w:hAnsi="Arial" w:cs="Arial"/>
                <w:b/>
              </w:rPr>
              <w:t>s</w:t>
            </w:r>
          </w:p>
        </w:tc>
        <w:tc>
          <w:tcPr>
            <w:tcW w:w="1275" w:type="dxa"/>
            <w:shd w:val="clear" w:color="auto" w:fill="8DB3E2" w:themeFill="text2" w:themeFillTint="66"/>
            <w:vAlign w:val="center"/>
          </w:tcPr>
          <w:p w:rsidR="00011BBB" w:rsidRPr="002E42CC" w:rsidRDefault="00011BBB" w:rsidP="004252C1">
            <w:pPr>
              <w:jc w:val="right"/>
              <w:rPr>
                <w:rFonts w:ascii="Arial" w:hAnsi="Arial" w:cs="Arial"/>
                <w:b/>
              </w:rPr>
            </w:pPr>
            <w:r w:rsidRPr="002E42CC">
              <w:rPr>
                <w:rFonts w:ascii="Arial" w:hAnsi="Arial" w:cs="Arial"/>
                <w:b/>
              </w:rPr>
              <w:t>Female</w:t>
            </w:r>
            <w:r w:rsidR="00276567">
              <w:rPr>
                <w:rFonts w:ascii="Arial" w:hAnsi="Arial" w:cs="Arial"/>
                <w:b/>
              </w:rPr>
              <w:t>s</w:t>
            </w:r>
          </w:p>
        </w:tc>
      </w:tr>
      <w:tr w:rsidR="002063A6" w:rsidRPr="002E42CC" w:rsidTr="004252C1">
        <w:tc>
          <w:tcPr>
            <w:tcW w:w="1985"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40 hours and above</w:t>
            </w:r>
          </w:p>
        </w:tc>
        <w:tc>
          <w:tcPr>
            <w:tcW w:w="198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526,184(47.9%)</w:t>
            </w:r>
          </w:p>
        </w:tc>
        <w:tc>
          <w:tcPr>
            <w:tcW w:w="99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71.3%</w:t>
            </w:r>
          </w:p>
        </w:tc>
        <w:tc>
          <w:tcPr>
            <w:tcW w:w="110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28.7%</w:t>
            </w:r>
          </w:p>
        </w:tc>
        <w:tc>
          <w:tcPr>
            <w:tcW w:w="187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453,715(48.5%)</w:t>
            </w:r>
          </w:p>
        </w:tc>
        <w:tc>
          <w:tcPr>
            <w:tcW w:w="127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71.6%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28.4%</w:t>
            </w:r>
          </w:p>
        </w:tc>
      </w:tr>
      <w:tr w:rsidR="002063A6" w:rsidRPr="002E42CC" w:rsidTr="004252C1">
        <w:tc>
          <w:tcPr>
            <w:tcW w:w="1985"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35-39 hours</w:t>
            </w:r>
          </w:p>
        </w:tc>
        <w:tc>
          <w:tcPr>
            <w:tcW w:w="198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173,233(15.8%)</w:t>
            </w:r>
          </w:p>
        </w:tc>
        <w:tc>
          <w:tcPr>
            <w:tcW w:w="99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49.0%</w:t>
            </w:r>
          </w:p>
        </w:tc>
        <w:tc>
          <w:tcPr>
            <w:tcW w:w="110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51.0%</w:t>
            </w:r>
          </w:p>
        </w:tc>
        <w:tc>
          <w:tcPr>
            <w:tcW w:w="187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139,957(15.0%)</w:t>
            </w:r>
          </w:p>
        </w:tc>
        <w:tc>
          <w:tcPr>
            <w:tcW w:w="127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49.0%</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51.0%</w:t>
            </w:r>
          </w:p>
        </w:tc>
      </w:tr>
      <w:tr w:rsidR="002063A6" w:rsidRPr="002E42CC" w:rsidTr="004252C1">
        <w:tc>
          <w:tcPr>
            <w:tcW w:w="1985"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25-34 hours</w:t>
            </w:r>
          </w:p>
        </w:tc>
        <w:tc>
          <w:tcPr>
            <w:tcW w:w="198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104,597(9.5%)</w:t>
            </w:r>
          </w:p>
        </w:tc>
        <w:tc>
          <w:tcPr>
            <w:tcW w:w="99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31.3%</w:t>
            </w:r>
          </w:p>
        </w:tc>
        <w:tc>
          <w:tcPr>
            <w:tcW w:w="110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68.7%</w:t>
            </w:r>
          </w:p>
        </w:tc>
        <w:tc>
          <w:tcPr>
            <w:tcW w:w="187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88,914(9.5%)</w:t>
            </w:r>
          </w:p>
        </w:tc>
        <w:tc>
          <w:tcPr>
            <w:tcW w:w="127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31.6%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68.4%</w:t>
            </w:r>
          </w:p>
        </w:tc>
      </w:tr>
      <w:tr w:rsidR="002063A6" w:rsidRPr="002E42CC" w:rsidTr="004252C1">
        <w:tc>
          <w:tcPr>
            <w:tcW w:w="1985"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16-24 hours</w:t>
            </w:r>
          </w:p>
        </w:tc>
        <w:tc>
          <w:tcPr>
            <w:tcW w:w="198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100,864(9.2%)</w:t>
            </w:r>
          </w:p>
        </w:tc>
        <w:tc>
          <w:tcPr>
            <w:tcW w:w="99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29.8%</w:t>
            </w:r>
          </w:p>
        </w:tc>
        <w:tc>
          <w:tcPr>
            <w:tcW w:w="110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70.2%</w:t>
            </w:r>
          </w:p>
        </w:tc>
        <w:tc>
          <w:tcPr>
            <w:tcW w:w="187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82,958(8.9%)</w:t>
            </w:r>
          </w:p>
        </w:tc>
        <w:tc>
          <w:tcPr>
            <w:tcW w:w="127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28.1%</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71.9%</w:t>
            </w:r>
          </w:p>
        </w:tc>
      </w:tr>
      <w:tr w:rsidR="002063A6" w:rsidRPr="002E42CC" w:rsidTr="004252C1">
        <w:tc>
          <w:tcPr>
            <w:tcW w:w="1985"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0-15 hours</w:t>
            </w:r>
          </w:p>
        </w:tc>
        <w:tc>
          <w:tcPr>
            <w:tcW w:w="198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170,538(15.5%)</w:t>
            </w:r>
          </w:p>
        </w:tc>
        <w:tc>
          <w:tcPr>
            <w:tcW w:w="99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37.5%</w:t>
            </w:r>
          </w:p>
        </w:tc>
        <w:tc>
          <w:tcPr>
            <w:tcW w:w="110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62.5%</w:t>
            </w:r>
          </w:p>
        </w:tc>
        <w:tc>
          <w:tcPr>
            <w:tcW w:w="187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144,080(15.4%)</w:t>
            </w:r>
          </w:p>
        </w:tc>
        <w:tc>
          <w:tcPr>
            <w:tcW w:w="127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36.4%</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63.6%</w:t>
            </w:r>
          </w:p>
        </w:tc>
      </w:tr>
      <w:tr w:rsidR="002063A6" w:rsidRPr="002E42CC" w:rsidTr="004252C1">
        <w:tc>
          <w:tcPr>
            <w:tcW w:w="1985" w:type="dxa"/>
            <w:shd w:val="clear" w:color="auto" w:fill="8DB3E2" w:themeFill="text2" w:themeFillTint="66"/>
            <w:vAlign w:val="bottom"/>
          </w:tcPr>
          <w:p w:rsidR="002063A6" w:rsidRPr="009C247B" w:rsidRDefault="002063A6" w:rsidP="004252C1">
            <w:pPr>
              <w:spacing w:before="60"/>
              <w:rPr>
                <w:rFonts w:ascii="Arial" w:eastAsia="Times New Roman" w:hAnsi="Arial" w:cs="Arial"/>
                <w:color w:val="000000"/>
                <w:sz w:val="18"/>
                <w:szCs w:val="18"/>
                <w:lang w:eastAsia="en-AU"/>
              </w:rPr>
            </w:pPr>
            <w:r w:rsidRPr="009C247B">
              <w:rPr>
                <w:rFonts w:ascii="Arial" w:eastAsia="Times New Roman" w:hAnsi="Arial" w:cs="Arial"/>
                <w:color w:val="000000"/>
                <w:sz w:val="18"/>
                <w:szCs w:val="18"/>
                <w:lang w:eastAsia="en-AU"/>
              </w:rPr>
              <w:t>Total persons</w:t>
            </w:r>
          </w:p>
        </w:tc>
        <w:tc>
          <w:tcPr>
            <w:tcW w:w="198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1,097,879(100.0%)</w:t>
            </w:r>
          </w:p>
        </w:tc>
        <w:tc>
          <w:tcPr>
            <w:tcW w:w="99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54.7%</w:t>
            </w:r>
          </w:p>
        </w:tc>
        <w:tc>
          <w:tcPr>
            <w:tcW w:w="110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45.3%</w:t>
            </w:r>
          </w:p>
        </w:tc>
        <w:tc>
          <w:tcPr>
            <w:tcW w:w="187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936,130(100.0%)</w:t>
            </w:r>
          </w:p>
        </w:tc>
        <w:tc>
          <w:tcPr>
            <w:tcW w:w="1276"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54.9%</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45.1%</w:t>
            </w:r>
          </w:p>
        </w:tc>
      </w:tr>
    </w:tbl>
    <w:p w:rsidR="009C247B" w:rsidRDefault="009C247B" w:rsidP="002A47EB">
      <w:pPr>
        <w:rPr>
          <w:rFonts w:ascii="Arial" w:hAnsi="Arial" w:cs="Arial"/>
          <w:b/>
        </w:rPr>
      </w:pPr>
    </w:p>
    <w:p w:rsidR="002063A6" w:rsidRPr="00FD44DB" w:rsidRDefault="002063A6" w:rsidP="002063A6">
      <w:pPr>
        <w:pStyle w:val="ListParagraph"/>
        <w:numPr>
          <w:ilvl w:val="0"/>
          <w:numId w:val="6"/>
        </w:numPr>
        <w:rPr>
          <w:rFonts w:ascii="Arial" w:hAnsi="Arial" w:cs="Arial"/>
          <w:b/>
          <w:color w:val="4F81BD" w:themeColor="accent1"/>
          <w:sz w:val="18"/>
          <w:szCs w:val="18"/>
        </w:rPr>
      </w:pPr>
      <w:r w:rsidRPr="00FD44DB">
        <w:rPr>
          <w:rFonts w:ascii="Arial" w:hAnsi="Arial" w:cs="Arial"/>
          <w:b/>
          <w:color w:val="4F81BD" w:themeColor="accent1"/>
          <w:sz w:val="18"/>
          <w:szCs w:val="18"/>
        </w:rPr>
        <w:t xml:space="preserve">In </w:t>
      </w:r>
      <w:r w:rsidR="00184B1D">
        <w:rPr>
          <w:rFonts w:ascii="Arial" w:hAnsi="Arial" w:cs="Arial"/>
          <w:b/>
          <w:color w:val="4F81BD" w:themeColor="accent1"/>
          <w:sz w:val="18"/>
          <w:szCs w:val="18"/>
        </w:rPr>
        <w:t>2011</w:t>
      </w:r>
      <w:r w:rsidRPr="00FD44DB">
        <w:rPr>
          <w:rFonts w:ascii="Arial" w:hAnsi="Arial" w:cs="Arial"/>
          <w:b/>
          <w:color w:val="4F81BD" w:themeColor="accent1"/>
          <w:sz w:val="18"/>
          <w:szCs w:val="18"/>
        </w:rPr>
        <w:t xml:space="preserve">, </w:t>
      </w:r>
      <w:r>
        <w:rPr>
          <w:rFonts w:ascii="Arial" w:hAnsi="Arial" w:cs="Arial"/>
          <w:b/>
          <w:color w:val="4F81BD" w:themeColor="accent1"/>
          <w:sz w:val="18"/>
          <w:szCs w:val="18"/>
        </w:rPr>
        <w:t>47.9</w:t>
      </w:r>
      <w:r w:rsidRPr="00FD44DB">
        <w:rPr>
          <w:rFonts w:ascii="Arial" w:hAnsi="Arial" w:cs="Arial"/>
          <w:b/>
          <w:color w:val="4F81BD" w:themeColor="accent1"/>
          <w:sz w:val="18"/>
          <w:szCs w:val="18"/>
        </w:rPr>
        <w:t xml:space="preserve">% of </w:t>
      </w:r>
      <w:r w:rsidR="00184B1D">
        <w:rPr>
          <w:rFonts w:ascii="Arial" w:hAnsi="Arial" w:cs="Arial"/>
          <w:b/>
          <w:color w:val="4F81BD" w:themeColor="accent1"/>
          <w:sz w:val="18"/>
          <w:szCs w:val="18"/>
        </w:rPr>
        <w:t xml:space="preserve">persons </w:t>
      </w:r>
      <w:r w:rsidRPr="00FD44DB">
        <w:rPr>
          <w:rFonts w:ascii="Arial" w:hAnsi="Arial" w:cs="Arial"/>
          <w:b/>
          <w:color w:val="4F81BD" w:themeColor="accent1"/>
          <w:sz w:val="18"/>
          <w:szCs w:val="18"/>
        </w:rPr>
        <w:t>who were employed and aged 15 years and over</w:t>
      </w:r>
      <w:r w:rsidR="00184B1D">
        <w:rPr>
          <w:rFonts w:ascii="Arial" w:hAnsi="Arial" w:cs="Arial"/>
          <w:b/>
          <w:color w:val="4F81BD" w:themeColor="accent1"/>
          <w:sz w:val="18"/>
          <w:szCs w:val="18"/>
        </w:rPr>
        <w:t xml:space="preserve"> in Western Australia</w:t>
      </w:r>
      <w:r w:rsidRPr="00FD44DB">
        <w:rPr>
          <w:rFonts w:ascii="Arial" w:hAnsi="Arial" w:cs="Arial"/>
          <w:b/>
          <w:color w:val="4F81BD" w:themeColor="accent1"/>
          <w:sz w:val="18"/>
          <w:szCs w:val="18"/>
        </w:rPr>
        <w:t xml:space="preserve"> reported working 40 hours or more in the week prior to </w:t>
      </w:r>
      <w:r w:rsidR="00184B1D">
        <w:rPr>
          <w:rFonts w:ascii="Arial" w:hAnsi="Arial" w:cs="Arial"/>
          <w:b/>
          <w:color w:val="4F81BD" w:themeColor="accent1"/>
          <w:sz w:val="18"/>
          <w:szCs w:val="18"/>
        </w:rPr>
        <w:t xml:space="preserve">the </w:t>
      </w:r>
      <w:r w:rsidRPr="00FD44DB">
        <w:rPr>
          <w:rFonts w:ascii="Arial" w:hAnsi="Arial" w:cs="Arial"/>
          <w:b/>
          <w:color w:val="4F81BD" w:themeColor="accent1"/>
          <w:sz w:val="18"/>
          <w:szCs w:val="18"/>
        </w:rPr>
        <w:t>Census. A higher proportion of these were males (</w:t>
      </w:r>
      <w:r>
        <w:rPr>
          <w:rFonts w:ascii="Arial" w:hAnsi="Arial" w:cs="Arial"/>
          <w:b/>
          <w:color w:val="4F81BD" w:themeColor="accent1"/>
          <w:sz w:val="18"/>
          <w:szCs w:val="18"/>
        </w:rPr>
        <w:t>71.3</w:t>
      </w:r>
      <w:r w:rsidRPr="00FD44DB">
        <w:rPr>
          <w:rFonts w:ascii="Arial" w:hAnsi="Arial" w:cs="Arial"/>
          <w:b/>
          <w:color w:val="4F81BD" w:themeColor="accent1"/>
          <w:sz w:val="18"/>
          <w:szCs w:val="18"/>
        </w:rPr>
        <w:t>%).</w:t>
      </w:r>
    </w:p>
    <w:p w:rsidR="002063A6" w:rsidRDefault="002063A6" w:rsidP="002063A6">
      <w:pPr>
        <w:pStyle w:val="ListParagraph"/>
        <w:numPr>
          <w:ilvl w:val="0"/>
          <w:numId w:val="5"/>
        </w:numPr>
        <w:rPr>
          <w:rFonts w:ascii="Arial" w:hAnsi="Arial" w:cs="Arial"/>
          <w:b/>
          <w:color w:val="4F81BD" w:themeColor="accent1"/>
          <w:sz w:val="18"/>
          <w:szCs w:val="18"/>
        </w:rPr>
      </w:pPr>
      <w:r>
        <w:rPr>
          <w:rFonts w:ascii="Arial" w:hAnsi="Arial" w:cs="Arial"/>
          <w:b/>
          <w:color w:val="4F81BD" w:themeColor="accent1"/>
          <w:sz w:val="18"/>
          <w:szCs w:val="18"/>
        </w:rPr>
        <w:t>Between the 2006 and 2011 Census</w:t>
      </w:r>
      <w:r w:rsidR="00184B1D">
        <w:rPr>
          <w:rFonts w:ascii="Arial" w:hAnsi="Arial" w:cs="Arial"/>
          <w:b/>
          <w:color w:val="4F81BD" w:themeColor="accent1"/>
          <w:sz w:val="18"/>
          <w:szCs w:val="18"/>
        </w:rPr>
        <w:t>es</w:t>
      </w:r>
      <w:r>
        <w:rPr>
          <w:rFonts w:ascii="Arial" w:hAnsi="Arial" w:cs="Arial"/>
          <w:b/>
          <w:color w:val="4F81BD" w:themeColor="accent1"/>
          <w:sz w:val="18"/>
          <w:szCs w:val="18"/>
        </w:rPr>
        <w:t xml:space="preserve"> there was a slight decline (0.6 percentage point) in the proportion of persons who reported working 40 hours or more (</w:t>
      </w:r>
      <w:r w:rsidR="00184B1D">
        <w:rPr>
          <w:rFonts w:ascii="Arial" w:hAnsi="Arial" w:cs="Arial"/>
          <w:b/>
          <w:color w:val="4F81BD" w:themeColor="accent1"/>
          <w:sz w:val="18"/>
          <w:szCs w:val="18"/>
        </w:rPr>
        <w:t xml:space="preserve">from </w:t>
      </w:r>
      <w:r>
        <w:rPr>
          <w:rFonts w:ascii="Arial" w:hAnsi="Arial" w:cs="Arial"/>
          <w:b/>
          <w:color w:val="4F81BD" w:themeColor="accent1"/>
          <w:sz w:val="18"/>
          <w:szCs w:val="18"/>
        </w:rPr>
        <w:t>48.5% in 2006 to 47.9% in 2011).</w:t>
      </w:r>
    </w:p>
    <w:p w:rsidR="002063A6" w:rsidRPr="002C3A00" w:rsidRDefault="00184B1D" w:rsidP="002C3A00">
      <w:pPr>
        <w:pStyle w:val="ListParagraph"/>
        <w:numPr>
          <w:ilvl w:val="0"/>
          <w:numId w:val="5"/>
        </w:numPr>
        <w:rPr>
          <w:rFonts w:ascii="Arial" w:hAnsi="Arial" w:cs="Arial"/>
          <w:b/>
          <w:color w:val="4F81BD" w:themeColor="accent1"/>
          <w:sz w:val="18"/>
          <w:szCs w:val="18"/>
        </w:rPr>
      </w:pPr>
      <w:r w:rsidRPr="002C3A00">
        <w:rPr>
          <w:rFonts w:ascii="Arial" w:hAnsi="Arial" w:cs="Arial"/>
          <w:b/>
          <w:color w:val="4F81BD" w:themeColor="accent1"/>
          <w:sz w:val="18"/>
          <w:szCs w:val="18"/>
        </w:rPr>
        <w:t>Of all employed persons aged 15 years and over,</w:t>
      </w:r>
      <w:r w:rsidR="002063A6" w:rsidRPr="002C3A00">
        <w:rPr>
          <w:rFonts w:ascii="Arial" w:hAnsi="Arial" w:cs="Arial"/>
          <w:b/>
          <w:color w:val="4F81BD" w:themeColor="accent1"/>
          <w:sz w:val="18"/>
          <w:szCs w:val="18"/>
        </w:rPr>
        <w:t xml:space="preserve"> 15.5% reported working 0 to 15 hours in the week prior to </w:t>
      </w:r>
      <w:r w:rsidRPr="002C3A00">
        <w:rPr>
          <w:rFonts w:ascii="Arial" w:hAnsi="Arial" w:cs="Arial"/>
          <w:b/>
          <w:color w:val="4F81BD" w:themeColor="accent1"/>
          <w:sz w:val="18"/>
          <w:szCs w:val="18"/>
        </w:rPr>
        <w:t xml:space="preserve">the 2011 </w:t>
      </w:r>
      <w:r w:rsidR="002063A6" w:rsidRPr="002C3A00">
        <w:rPr>
          <w:rFonts w:ascii="Arial" w:hAnsi="Arial" w:cs="Arial"/>
          <w:b/>
          <w:color w:val="4F81BD" w:themeColor="accent1"/>
          <w:sz w:val="18"/>
          <w:szCs w:val="18"/>
        </w:rPr>
        <w:t>Census. A higher proportion of these were females (62.5%).</w:t>
      </w:r>
    </w:p>
    <w:p w:rsidR="00CE1624" w:rsidRPr="002C3A00" w:rsidRDefault="00CE1624" w:rsidP="002C3A00">
      <w:pPr>
        <w:ind w:left="360"/>
        <w:rPr>
          <w:rFonts w:ascii="Arial" w:eastAsia="Times New Roman" w:hAnsi="Arial" w:cs="Arial"/>
          <w:color w:val="000000"/>
          <w:lang w:eastAsia="en-AU"/>
        </w:rPr>
      </w:pPr>
    </w:p>
    <w:p w:rsidR="00CE1624" w:rsidRPr="002C3A00" w:rsidRDefault="00CE1624" w:rsidP="002C3A00">
      <w:pPr>
        <w:ind w:left="360"/>
        <w:rPr>
          <w:rFonts w:ascii="Arial" w:hAnsi="Arial" w:cs="Arial"/>
          <w:b/>
          <w:color w:val="000000" w:themeColor="text1"/>
        </w:rPr>
      </w:pPr>
    </w:p>
    <w:p w:rsidR="00CE1624" w:rsidRPr="002C3A00" w:rsidRDefault="00CE1624" w:rsidP="002C3A00">
      <w:pPr>
        <w:ind w:left="360"/>
        <w:rPr>
          <w:rFonts w:ascii="Arial" w:hAnsi="Arial" w:cs="Arial"/>
          <w:b/>
          <w:color w:val="000000" w:themeColor="text1"/>
        </w:rPr>
      </w:pPr>
    </w:p>
    <w:p w:rsidR="009C247B" w:rsidRDefault="009C247B" w:rsidP="00B5694C">
      <w:pPr>
        <w:jc w:val="center"/>
        <w:rPr>
          <w:rFonts w:ascii="Arial" w:hAnsi="Arial" w:cs="Arial"/>
          <w:b/>
          <w:color w:val="000000" w:themeColor="text1"/>
        </w:rPr>
      </w:pPr>
    </w:p>
    <w:p w:rsidR="00BF1EC3" w:rsidRDefault="00BF1EC3"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577B41" w:rsidRDefault="00577B41"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D6793E" w:rsidRDefault="00D6793E" w:rsidP="00BF1EC3">
      <w:pPr>
        <w:spacing w:after="0"/>
        <w:jc w:val="center"/>
        <w:rPr>
          <w:rFonts w:ascii="Arial" w:hAnsi="Arial" w:cs="Arial"/>
          <w:b/>
          <w:sz w:val="28"/>
          <w:szCs w:val="28"/>
        </w:rPr>
      </w:pPr>
    </w:p>
    <w:p w:rsidR="00BF1EC3" w:rsidRDefault="00BF1EC3" w:rsidP="00BF1EC3">
      <w:pPr>
        <w:spacing w:after="0"/>
        <w:jc w:val="center"/>
        <w:rPr>
          <w:rFonts w:ascii="Arial" w:hAnsi="Arial" w:cs="Arial"/>
          <w:b/>
          <w:sz w:val="28"/>
          <w:szCs w:val="28"/>
        </w:rPr>
      </w:pPr>
    </w:p>
    <w:p w:rsidR="00184B1D" w:rsidRDefault="00184B1D">
      <w:pPr>
        <w:rPr>
          <w:rFonts w:ascii="Arial" w:hAnsi="Arial" w:cs="Arial"/>
          <w:b/>
          <w:sz w:val="28"/>
          <w:szCs w:val="28"/>
        </w:rPr>
      </w:pPr>
      <w:r>
        <w:rPr>
          <w:rFonts w:ascii="Arial" w:hAnsi="Arial" w:cs="Arial"/>
          <w:b/>
          <w:sz w:val="28"/>
          <w:szCs w:val="28"/>
        </w:rPr>
        <w:br w:type="page"/>
      </w:r>
    </w:p>
    <w:p w:rsidR="00BF1EC3" w:rsidRDefault="00BF1EC3" w:rsidP="00BF1EC3">
      <w:pPr>
        <w:spacing w:after="0"/>
        <w:jc w:val="center"/>
        <w:rPr>
          <w:rFonts w:ascii="Arial" w:hAnsi="Arial" w:cs="Arial"/>
          <w:b/>
          <w:sz w:val="28"/>
          <w:szCs w:val="28"/>
        </w:rPr>
      </w:pPr>
    </w:p>
    <w:p w:rsidR="00184B1D" w:rsidRDefault="00184B1D" w:rsidP="00BF1EC3">
      <w:pPr>
        <w:spacing w:after="0"/>
        <w:jc w:val="center"/>
        <w:rPr>
          <w:rFonts w:ascii="Arial" w:hAnsi="Arial" w:cs="Arial"/>
          <w:b/>
          <w:sz w:val="28"/>
          <w:szCs w:val="28"/>
        </w:rPr>
      </w:pPr>
    </w:p>
    <w:p w:rsidR="00184B1D" w:rsidRDefault="00184B1D" w:rsidP="00BF1EC3">
      <w:pPr>
        <w:spacing w:after="0"/>
        <w:jc w:val="center"/>
        <w:rPr>
          <w:rFonts w:ascii="Arial" w:hAnsi="Arial" w:cs="Arial"/>
          <w:b/>
          <w:sz w:val="28"/>
          <w:szCs w:val="28"/>
        </w:rPr>
      </w:pPr>
    </w:p>
    <w:p w:rsidR="00184B1D" w:rsidRDefault="00184B1D" w:rsidP="00BF1EC3">
      <w:pPr>
        <w:spacing w:after="0"/>
        <w:jc w:val="center"/>
        <w:rPr>
          <w:rFonts w:ascii="Arial" w:hAnsi="Arial" w:cs="Arial"/>
          <w:b/>
          <w:sz w:val="28"/>
          <w:szCs w:val="28"/>
        </w:rPr>
      </w:pPr>
    </w:p>
    <w:p w:rsidR="00184B1D" w:rsidRDefault="00184B1D" w:rsidP="00BF1EC3">
      <w:pPr>
        <w:spacing w:after="0"/>
        <w:jc w:val="center"/>
        <w:rPr>
          <w:rFonts w:ascii="Arial" w:hAnsi="Arial" w:cs="Arial"/>
          <w:b/>
          <w:sz w:val="28"/>
          <w:szCs w:val="28"/>
        </w:rPr>
      </w:pPr>
    </w:p>
    <w:p w:rsidR="00BF1EC3" w:rsidRDefault="002063A6" w:rsidP="00BF1EC3">
      <w:pPr>
        <w:spacing w:after="0"/>
        <w:jc w:val="center"/>
        <w:rPr>
          <w:rFonts w:ascii="Arial" w:hAnsi="Arial" w:cs="Arial"/>
          <w:b/>
          <w:sz w:val="32"/>
          <w:szCs w:val="32"/>
        </w:rPr>
      </w:pPr>
      <w:r>
        <w:rPr>
          <w:rFonts w:ascii="Arial" w:hAnsi="Arial" w:cs="Arial"/>
          <w:b/>
          <w:sz w:val="32"/>
          <w:szCs w:val="32"/>
        </w:rPr>
        <w:t xml:space="preserve">Western </w:t>
      </w:r>
      <w:r w:rsidR="00BF1EC3" w:rsidRPr="00BF1EC3">
        <w:rPr>
          <w:rFonts w:ascii="Arial" w:hAnsi="Arial" w:cs="Arial"/>
          <w:b/>
          <w:sz w:val="32"/>
          <w:szCs w:val="32"/>
        </w:rPr>
        <w:t>Australia</w:t>
      </w:r>
    </w:p>
    <w:p w:rsidR="00BF1EC3" w:rsidRPr="00BF1EC3" w:rsidRDefault="00BF1EC3" w:rsidP="00BF1EC3">
      <w:pPr>
        <w:spacing w:after="0"/>
        <w:jc w:val="center"/>
        <w:rPr>
          <w:rFonts w:ascii="Arial" w:hAnsi="Arial" w:cs="Arial"/>
          <w:b/>
          <w:sz w:val="28"/>
          <w:szCs w:val="28"/>
        </w:rPr>
      </w:pPr>
    </w:p>
    <w:p w:rsidR="005D2C2E" w:rsidRPr="00433831" w:rsidRDefault="0027431A" w:rsidP="00B5694C">
      <w:pPr>
        <w:jc w:val="center"/>
        <w:rPr>
          <w:rFonts w:ascii="Arial" w:hAnsi="Arial" w:cs="Arial"/>
          <w:b/>
          <w:sz w:val="28"/>
          <w:szCs w:val="28"/>
        </w:rPr>
      </w:pPr>
      <w:r w:rsidRPr="00433831">
        <w:rPr>
          <w:rFonts w:ascii="Arial" w:hAnsi="Arial" w:cs="Arial"/>
          <w:b/>
          <w:color w:val="000000" w:themeColor="text1"/>
          <w:sz w:val="28"/>
          <w:szCs w:val="28"/>
        </w:rPr>
        <w:t xml:space="preserve">Top </w:t>
      </w:r>
      <w:r w:rsidR="00184B1D">
        <w:rPr>
          <w:rFonts w:ascii="Arial" w:hAnsi="Arial" w:cs="Arial"/>
          <w:b/>
          <w:color w:val="000000" w:themeColor="text1"/>
          <w:sz w:val="28"/>
          <w:szCs w:val="28"/>
        </w:rPr>
        <w:t>five</w:t>
      </w:r>
      <w:r w:rsidR="00233455" w:rsidRPr="00433831">
        <w:rPr>
          <w:rFonts w:ascii="Arial" w:hAnsi="Arial" w:cs="Arial"/>
          <w:b/>
          <w:color w:val="000000" w:themeColor="text1"/>
          <w:sz w:val="28"/>
          <w:szCs w:val="28"/>
        </w:rPr>
        <w:t xml:space="preserve"> </w:t>
      </w:r>
      <w:r w:rsidR="00184B1D">
        <w:rPr>
          <w:rFonts w:ascii="Arial" w:hAnsi="Arial" w:cs="Arial"/>
          <w:b/>
          <w:color w:val="000000" w:themeColor="text1"/>
          <w:sz w:val="28"/>
          <w:szCs w:val="28"/>
        </w:rPr>
        <w:t>i</w:t>
      </w:r>
      <w:r w:rsidRPr="00433831">
        <w:rPr>
          <w:rFonts w:ascii="Arial" w:hAnsi="Arial" w:cs="Arial"/>
          <w:b/>
          <w:color w:val="000000" w:themeColor="text1"/>
          <w:sz w:val="28"/>
          <w:szCs w:val="28"/>
        </w:rPr>
        <w:t>ndustries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 xml:space="preserve">(employed persons aged </w:t>
      </w:r>
      <w:r w:rsidR="00184B1D">
        <w:rPr>
          <w:rFonts w:ascii="Arial" w:eastAsia="Times New Roman" w:hAnsi="Arial" w:cs="Arial"/>
          <w:b/>
          <w:color w:val="000000"/>
          <w:sz w:val="28"/>
          <w:szCs w:val="28"/>
          <w:lang w:eastAsia="en-AU"/>
        </w:rPr>
        <w:br/>
      </w:r>
      <w:r w:rsidR="00B5694C" w:rsidRPr="00433831">
        <w:rPr>
          <w:rFonts w:ascii="Arial" w:eastAsia="Times New Roman" w:hAnsi="Arial" w:cs="Arial"/>
          <w:b/>
          <w:color w:val="000000"/>
          <w:sz w:val="28"/>
          <w:szCs w:val="28"/>
          <w:lang w:eastAsia="en-AU"/>
        </w:rPr>
        <w:t>15 years and over)</w:t>
      </w:r>
    </w:p>
    <w:tbl>
      <w:tblPr>
        <w:tblStyle w:val="TableGrid"/>
        <w:tblW w:w="10490" w:type="dxa"/>
        <w:tblInd w:w="-743" w:type="dxa"/>
        <w:tblLayout w:type="fixed"/>
        <w:tblLook w:val="04A0" w:firstRow="1" w:lastRow="0" w:firstColumn="1" w:lastColumn="0" w:noHBand="0" w:noVBand="1"/>
      </w:tblPr>
      <w:tblGrid>
        <w:gridCol w:w="2269"/>
        <w:gridCol w:w="1984"/>
        <w:gridCol w:w="993"/>
        <w:gridCol w:w="1275"/>
        <w:gridCol w:w="1843"/>
        <w:gridCol w:w="851"/>
        <w:gridCol w:w="1275"/>
      </w:tblGrid>
      <w:tr w:rsidR="00276567" w:rsidRPr="008B58A5" w:rsidTr="00964903">
        <w:tc>
          <w:tcPr>
            <w:tcW w:w="2269"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4252" w:type="dxa"/>
            <w:gridSpan w:val="3"/>
            <w:shd w:val="clear" w:color="auto" w:fill="548DD4" w:themeFill="text2" w:themeFillTint="99"/>
          </w:tcPr>
          <w:p w:rsidR="00276567" w:rsidRPr="002E42CC" w:rsidRDefault="00276567" w:rsidP="00233455">
            <w:pPr>
              <w:jc w:val="center"/>
              <w:rPr>
                <w:rFonts w:ascii="Arial" w:hAnsi="Arial" w:cs="Arial"/>
                <w:b/>
              </w:rPr>
            </w:pPr>
            <w:r>
              <w:rPr>
                <w:rFonts w:ascii="Arial" w:hAnsi="Arial" w:cs="Arial"/>
                <w:b/>
              </w:rPr>
              <w:t>2011</w:t>
            </w:r>
          </w:p>
        </w:tc>
        <w:tc>
          <w:tcPr>
            <w:tcW w:w="3969" w:type="dxa"/>
            <w:gridSpan w:val="3"/>
            <w:shd w:val="clear" w:color="auto" w:fill="548DD4" w:themeFill="text2" w:themeFillTint="99"/>
          </w:tcPr>
          <w:p w:rsidR="00276567" w:rsidRDefault="00276567" w:rsidP="00233455">
            <w:pPr>
              <w:jc w:val="center"/>
              <w:rPr>
                <w:rFonts w:ascii="Arial" w:hAnsi="Arial" w:cs="Arial"/>
                <w:b/>
              </w:rPr>
            </w:pPr>
            <w:r>
              <w:rPr>
                <w:rFonts w:ascii="Arial" w:hAnsi="Arial" w:cs="Arial"/>
                <w:b/>
              </w:rPr>
              <w:t>2006</w:t>
            </w:r>
          </w:p>
        </w:tc>
      </w:tr>
      <w:tr w:rsidR="00964903" w:rsidRPr="008B58A5" w:rsidTr="004252C1">
        <w:tc>
          <w:tcPr>
            <w:tcW w:w="2269"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4252C1">
            <w:pPr>
              <w:jc w:val="right"/>
              <w:rPr>
                <w:rFonts w:ascii="Arial" w:hAnsi="Arial" w:cs="Arial"/>
                <w:b/>
              </w:rPr>
            </w:pPr>
            <w:r>
              <w:rPr>
                <w:rFonts w:ascii="Arial" w:hAnsi="Arial" w:cs="Arial"/>
                <w:b/>
              </w:rPr>
              <w:t>Total</w:t>
            </w:r>
          </w:p>
        </w:tc>
        <w:tc>
          <w:tcPr>
            <w:tcW w:w="993"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276567" w:rsidRPr="002E42CC" w:rsidRDefault="00276567" w:rsidP="004252C1">
            <w:pPr>
              <w:jc w:val="right"/>
              <w:rPr>
                <w:rFonts w:ascii="Arial" w:hAnsi="Arial" w:cs="Arial"/>
                <w:b/>
              </w:rPr>
            </w:pPr>
            <w:r>
              <w:rPr>
                <w:rFonts w:ascii="Arial" w:hAnsi="Arial" w:cs="Arial"/>
                <w:b/>
              </w:rPr>
              <w:t>Total</w:t>
            </w:r>
          </w:p>
        </w:tc>
        <w:tc>
          <w:tcPr>
            <w:tcW w:w="851"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Female</w:t>
            </w:r>
            <w:r>
              <w:rPr>
                <w:rFonts w:ascii="Arial" w:hAnsi="Arial" w:cs="Arial"/>
                <w:b/>
              </w:rPr>
              <w:t>s</w:t>
            </w:r>
          </w:p>
        </w:tc>
      </w:tr>
      <w:tr w:rsidR="002063A6" w:rsidRPr="008B58A5" w:rsidTr="004252C1">
        <w:tc>
          <w:tcPr>
            <w:tcW w:w="2269"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Health Care and Social Assistance</w:t>
            </w:r>
          </w:p>
        </w:tc>
        <w:tc>
          <w:tcPr>
            <w:tcW w:w="1984"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113,773(10.4%)</w:t>
            </w:r>
          </w:p>
        </w:tc>
        <w:tc>
          <w:tcPr>
            <w:tcW w:w="99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19.7%</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80.3%</w:t>
            </w:r>
          </w:p>
        </w:tc>
        <w:tc>
          <w:tcPr>
            <w:tcW w:w="184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95,160(10.2%)</w:t>
            </w:r>
          </w:p>
        </w:tc>
        <w:tc>
          <w:tcPr>
            <w:tcW w:w="85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21.0%</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79.0%</w:t>
            </w:r>
          </w:p>
        </w:tc>
      </w:tr>
      <w:tr w:rsidR="002063A6" w:rsidRPr="008B58A5" w:rsidTr="004252C1">
        <w:tc>
          <w:tcPr>
            <w:tcW w:w="2269"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Construction</w:t>
            </w:r>
          </w:p>
        </w:tc>
        <w:tc>
          <w:tcPr>
            <w:tcW w:w="1984"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111,845(10.2%)</w:t>
            </w:r>
          </w:p>
        </w:tc>
        <w:tc>
          <w:tcPr>
            <w:tcW w:w="99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85.2%</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14.8%</w:t>
            </w:r>
          </w:p>
        </w:tc>
        <w:tc>
          <w:tcPr>
            <w:tcW w:w="184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85,124(9.1%)</w:t>
            </w:r>
          </w:p>
        </w:tc>
        <w:tc>
          <w:tcPr>
            <w:tcW w:w="85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85.5%</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14.5%</w:t>
            </w:r>
          </w:p>
        </w:tc>
      </w:tr>
      <w:tr w:rsidR="002063A6" w:rsidRPr="008B58A5" w:rsidTr="004252C1">
        <w:tc>
          <w:tcPr>
            <w:tcW w:w="2269"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 xml:space="preserve">Retail Trade </w:t>
            </w:r>
          </w:p>
        </w:tc>
        <w:tc>
          <w:tcPr>
            <w:tcW w:w="1984"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110,721(10.1%)</w:t>
            </w:r>
          </w:p>
        </w:tc>
        <w:tc>
          <w:tcPr>
            <w:tcW w:w="99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39.7%</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60.3%</w:t>
            </w:r>
          </w:p>
        </w:tc>
        <w:tc>
          <w:tcPr>
            <w:tcW w:w="184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104,300(11.1%)</w:t>
            </w:r>
          </w:p>
        </w:tc>
        <w:tc>
          <w:tcPr>
            <w:tcW w:w="85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40.9%</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59.1%</w:t>
            </w:r>
          </w:p>
        </w:tc>
      </w:tr>
      <w:tr w:rsidR="002063A6" w:rsidRPr="008B58A5" w:rsidTr="004252C1">
        <w:tc>
          <w:tcPr>
            <w:tcW w:w="2269"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Manufacturing</w:t>
            </w:r>
          </w:p>
        </w:tc>
        <w:tc>
          <w:tcPr>
            <w:tcW w:w="1984"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90,392(8.2%)</w:t>
            </w:r>
          </w:p>
        </w:tc>
        <w:tc>
          <w:tcPr>
            <w:tcW w:w="99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76.8%</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23.2%</w:t>
            </w:r>
          </w:p>
        </w:tc>
        <w:tc>
          <w:tcPr>
            <w:tcW w:w="184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88,409(9.4%)</w:t>
            </w:r>
          </w:p>
        </w:tc>
        <w:tc>
          <w:tcPr>
            <w:tcW w:w="85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76.8%</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23.2%</w:t>
            </w:r>
          </w:p>
        </w:tc>
      </w:tr>
      <w:tr w:rsidR="002063A6" w:rsidRPr="008B58A5" w:rsidTr="004252C1">
        <w:tc>
          <w:tcPr>
            <w:tcW w:w="2269"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Education and Training</w:t>
            </w:r>
          </w:p>
        </w:tc>
        <w:tc>
          <w:tcPr>
            <w:tcW w:w="1984"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88,077(8.0%)</w:t>
            </w:r>
          </w:p>
        </w:tc>
        <w:tc>
          <w:tcPr>
            <w:tcW w:w="99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27.7%</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72.3%</w:t>
            </w:r>
          </w:p>
        </w:tc>
        <w:tc>
          <w:tcPr>
            <w:tcW w:w="184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71,876(7.7%)</w:t>
            </w:r>
          </w:p>
        </w:tc>
        <w:tc>
          <w:tcPr>
            <w:tcW w:w="85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29.1%</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70.9%</w:t>
            </w:r>
          </w:p>
        </w:tc>
      </w:tr>
      <w:tr w:rsidR="002063A6" w:rsidRPr="008B58A5" w:rsidTr="004252C1">
        <w:tc>
          <w:tcPr>
            <w:tcW w:w="2269" w:type="dxa"/>
            <w:shd w:val="clear" w:color="auto" w:fill="8DB3E2" w:themeFill="text2" w:themeFillTint="66"/>
            <w:vAlign w:val="bottom"/>
          </w:tcPr>
          <w:p w:rsidR="002063A6" w:rsidRPr="004252C1" w:rsidRDefault="002063A6" w:rsidP="004252C1">
            <w:pPr>
              <w:rPr>
                <w:rFonts w:ascii="Arial" w:hAnsi="Arial" w:cs="Arial"/>
                <w:color w:val="000000" w:themeColor="text1"/>
                <w:sz w:val="18"/>
                <w:szCs w:val="18"/>
              </w:rPr>
            </w:pPr>
            <w:r w:rsidRPr="004252C1">
              <w:rPr>
                <w:rFonts w:ascii="Arial" w:hAnsi="Arial" w:cs="Arial"/>
                <w:color w:val="000000" w:themeColor="text1"/>
                <w:sz w:val="18"/>
                <w:szCs w:val="18"/>
              </w:rPr>
              <w:t>Total persons</w:t>
            </w:r>
          </w:p>
        </w:tc>
        <w:tc>
          <w:tcPr>
            <w:tcW w:w="1984"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1,097,879(100.0%)</w:t>
            </w:r>
          </w:p>
        </w:tc>
        <w:tc>
          <w:tcPr>
            <w:tcW w:w="99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54.7%</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45.3%</w:t>
            </w:r>
          </w:p>
        </w:tc>
        <w:tc>
          <w:tcPr>
            <w:tcW w:w="1843"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936,130(100.0%)</w:t>
            </w:r>
          </w:p>
        </w:tc>
        <w:tc>
          <w:tcPr>
            <w:tcW w:w="85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54.9%</w:t>
            </w:r>
          </w:p>
        </w:tc>
        <w:tc>
          <w:tcPr>
            <w:tcW w:w="127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45.1%</w:t>
            </w:r>
          </w:p>
        </w:tc>
      </w:tr>
    </w:tbl>
    <w:p w:rsidR="002A47EB" w:rsidRDefault="002A47EB" w:rsidP="00726F2A">
      <w:pPr>
        <w:rPr>
          <w:rFonts w:ascii="Arial" w:hAnsi="Arial" w:cs="Arial"/>
          <w:b/>
        </w:rPr>
      </w:pPr>
    </w:p>
    <w:p w:rsidR="002063A6" w:rsidRDefault="002063A6" w:rsidP="002063A6">
      <w:pPr>
        <w:pStyle w:val="ListParagraph"/>
        <w:numPr>
          <w:ilvl w:val="0"/>
          <w:numId w:val="5"/>
        </w:numPr>
        <w:outlineLvl w:val="0"/>
        <w:rPr>
          <w:rFonts w:ascii="Arial" w:hAnsi="Arial" w:cs="Arial"/>
          <w:b/>
          <w:color w:val="4F81BD" w:themeColor="accent1"/>
          <w:sz w:val="18"/>
          <w:szCs w:val="18"/>
        </w:rPr>
      </w:pPr>
      <w:r w:rsidRPr="00BB4CAD">
        <w:rPr>
          <w:rFonts w:ascii="Arial" w:hAnsi="Arial" w:cs="Arial"/>
          <w:b/>
          <w:color w:val="4F81BD" w:themeColor="accent1"/>
          <w:sz w:val="18"/>
          <w:szCs w:val="18"/>
        </w:rPr>
        <w:t>In 2011, the largest proportion of employed persons aged 15 years and over reported working in the Hea</w:t>
      </w:r>
      <w:r w:rsidR="00184B1D">
        <w:rPr>
          <w:rFonts w:ascii="Arial" w:hAnsi="Arial" w:cs="Arial"/>
          <w:b/>
          <w:color w:val="4F81BD" w:themeColor="accent1"/>
          <w:sz w:val="18"/>
          <w:szCs w:val="18"/>
        </w:rPr>
        <w:t>lth Care and Social Assistance i</w:t>
      </w:r>
      <w:r w:rsidRPr="00BB4CAD">
        <w:rPr>
          <w:rFonts w:ascii="Arial" w:hAnsi="Arial" w:cs="Arial"/>
          <w:b/>
          <w:color w:val="4F81BD" w:themeColor="accent1"/>
          <w:sz w:val="18"/>
          <w:szCs w:val="18"/>
        </w:rPr>
        <w:t>ndustry (</w:t>
      </w:r>
      <w:r>
        <w:rPr>
          <w:rFonts w:ascii="Arial" w:hAnsi="Arial" w:cs="Arial"/>
          <w:b/>
          <w:color w:val="4F81BD" w:themeColor="accent1"/>
          <w:sz w:val="18"/>
          <w:szCs w:val="18"/>
        </w:rPr>
        <w:t xml:space="preserve">10.4%) followed by </w:t>
      </w:r>
      <w:r w:rsidR="00184B1D">
        <w:rPr>
          <w:rFonts w:ascii="Arial" w:hAnsi="Arial" w:cs="Arial"/>
          <w:b/>
          <w:color w:val="4F81BD" w:themeColor="accent1"/>
          <w:sz w:val="18"/>
          <w:szCs w:val="18"/>
        </w:rPr>
        <w:t>the Construction i</w:t>
      </w:r>
      <w:r>
        <w:rPr>
          <w:rFonts w:ascii="Arial" w:hAnsi="Arial" w:cs="Arial"/>
          <w:b/>
          <w:color w:val="4F81BD" w:themeColor="accent1"/>
          <w:sz w:val="18"/>
          <w:szCs w:val="18"/>
        </w:rPr>
        <w:t>ndustry (10.2%).</w:t>
      </w:r>
    </w:p>
    <w:p w:rsidR="002063A6" w:rsidRPr="00BB4CAD" w:rsidRDefault="002063A6" w:rsidP="002063A6">
      <w:pPr>
        <w:pStyle w:val="ListParagraph"/>
        <w:numPr>
          <w:ilvl w:val="0"/>
          <w:numId w:val="5"/>
        </w:numPr>
        <w:outlineLvl w:val="0"/>
        <w:rPr>
          <w:rFonts w:ascii="Arial" w:hAnsi="Arial" w:cs="Arial"/>
          <w:b/>
          <w:color w:val="4F81BD" w:themeColor="accent1"/>
          <w:sz w:val="18"/>
          <w:szCs w:val="18"/>
        </w:rPr>
      </w:pPr>
      <w:r w:rsidRPr="00BB4CAD">
        <w:rPr>
          <w:rFonts w:ascii="Arial" w:hAnsi="Arial" w:cs="Arial"/>
          <w:b/>
          <w:bCs/>
          <w:color w:val="4181C0"/>
          <w:sz w:val="18"/>
          <w:szCs w:val="18"/>
        </w:rPr>
        <w:t>In 2006, the Retail Trade industry was the most reported response for employed persons</w:t>
      </w:r>
      <w:r>
        <w:rPr>
          <w:rFonts w:ascii="Arial" w:hAnsi="Arial" w:cs="Arial"/>
          <w:b/>
          <w:bCs/>
          <w:color w:val="4181C0"/>
          <w:sz w:val="18"/>
          <w:szCs w:val="18"/>
        </w:rPr>
        <w:t xml:space="preserve"> aged 15</w:t>
      </w:r>
      <w:r w:rsidR="001F79FE">
        <w:rPr>
          <w:rFonts w:ascii="Arial" w:hAnsi="Arial" w:cs="Arial"/>
          <w:b/>
          <w:bCs/>
          <w:color w:val="4181C0"/>
          <w:sz w:val="18"/>
          <w:szCs w:val="18"/>
        </w:rPr>
        <w:t> </w:t>
      </w:r>
      <w:r>
        <w:rPr>
          <w:rFonts w:ascii="Arial" w:hAnsi="Arial" w:cs="Arial"/>
          <w:b/>
          <w:bCs/>
          <w:color w:val="4181C0"/>
          <w:sz w:val="18"/>
          <w:szCs w:val="18"/>
        </w:rPr>
        <w:t>years and over (11.1</w:t>
      </w:r>
      <w:r w:rsidRPr="00BB4CAD">
        <w:rPr>
          <w:rFonts w:ascii="Arial" w:hAnsi="Arial" w:cs="Arial"/>
          <w:b/>
          <w:bCs/>
          <w:color w:val="4181C0"/>
          <w:sz w:val="18"/>
          <w:szCs w:val="18"/>
        </w:rPr>
        <w:t xml:space="preserve">%). The proportion of those who reported being </w:t>
      </w:r>
      <w:r w:rsidR="00184B1D">
        <w:rPr>
          <w:rFonts w:ascii="Arial" w:hAnsi="Arial" w:cs="Arial"/>
          <w:b/>
          <w:bCs/>
          <w:color w:val="4181C0"/>
          <w:sz w:val="18"/>
          <w:szCs w:val="18"/>
        </w:rPr>
        <w:t>employed in</w:t>
      </w:r>
      <w:r w:rsidRPr="00BB4CAD">
        <w:rPr>
          <w:rFonts w:ascii="Arial" w:hAnsi="Arial" w:cs="Arial"/>
          <w:b/>
          <w:bCs/>
          <w:color w:val="4181C0"/>
          <w:sz w:val="18"/>
          <w:szCs w:val="18"/>
        </w:rPr>
        <w:t xml:space="preserve"> this industry declined to 10.</w:t>
      </w:r>
      <w:r>
        <w:rPr>
          <w:rFonts w:ascii="Arial" w:hAnsi="Arial" w:cs="Arial"/>
          <w:b/>
          <w:bCs/>
          <w:color w:val="4181C0"/>
          <w:sz w:val="18"/>
          <w:szCs w:val="18"/>
        </w:rPr>
        <w:t>1</w:t>
      </w:r>
      <w:r w:rsidRPr="00BB4CAD">
        <w:rPr>
          <w:rFonts w:ascii="Arial" w:hAnsi="Arial" w:cs="Arial"/>
          <w:b/>
          <w:bCs/>
          <w:color w:val="4181C0"/>
          <w:sz w:val="18"/>
          <w:szCs w:val="18"/>
        </w:rPr>
        <w:t xml:space="preserve">% in 2011, however there </w:t>
      </w:r>
      <w:r w:rsidR="00184B1D">
        <w:rPr>
          <w:rFonts w:ascii="Arial" w:hAnsi="Arial" w:cs="Arial"/>
          <w:b/>
          <w:bCs/>
          <w:color w:val="4181C0"/>
          <w:sz w:val="18"/>
          <w:szCs w:val="18"/>
        </w:rPr>
        <w:t>has been</w:t>
      </w:r>
      <w:r w:rsidRPr="00BB4CAD">
        <w:rPr>
          <w:rFonts w:ascii="Arial" w:hAnsi="Arial" w:cs="Arial"/>
          <w:b/>
          <w:bCs/>
          <w:color w:val="4181C0"/>
          <w:sz w:val="18"/>
          <w:szCs w:val="18"/>
        </w:rPr>
        <w:t xml:space="preserve"> a </w:t>
      </w:r>
      <w:r>
        <w:rPr>
          <w:rFonts w:ascii="Arial" w:hAnsi="Arial" w:cs="Arial"/>
          <w:b/>
          <w:bCs/>
          <w:color w:val="4181C0"/>
          <w:sz w:val="18"/>
          <w:szCs w:val="18"/>
        </w:rPr>
        <w:t>minor</w:t>
      </w:r>
      <w:r w:rsidRPr="00BB4CAD">
        <w:rPr>
          <w:rFonts w:ascii="Arial" w:hAnsi="Arial" w:cs="Arial"/>
          <w:b/>
          <w:bCs/>
          <w:color w:val="4181C0"/>
          <w:sz w:val="18"/>
          <w:szCs w:val="18"/>
        </w:rPr>
        <w:t xml:space="preserve"> increase in the number of persons employed in this industry</w:t>
      </w:r>
      <w:r>
        <w:rPr>
          <w:rFonts w:ascii="Arial" w:hAnsi="Arial" w:cs="Arial"/>
          <w:b/>
          <w:bCs/>
          <w:color w:val="4181C0"/>
          <w:sz w:val="18"/>
          <w:szCs w:val="18"/>
        </w:rPr>
        <w:t xml:space="preserve"> (6,421 persons)</w:t>
      </w:r>
      <w:r w:rsidRPr="00BB4CAD">
        <w:rPr>
          <w:rFonts w:ascii="Arial" w:hAnsi="Arial" w:cs="Arial"/>
          <w:b/>
          <w:bCs/>
          <w:color w:val="4181C0"/>
          <w:sz w:val="18"/>
          <w:szCs w:val="18"/>
        </w:rPr>
        <w:t>.</w:t>
      </w:r>
    </w:p>
    <w:p w:rsidR="002063A6" w:rsidRPr="001F6ED0" w:rsidRDefault="002063A6" w:rsidP="002063A6">
      <w:pPr>
        <w:pStyle w:val="ListParagraph"/>
        <w:numPr>
          <w:ilvl w:val="0"/>
          <w:numId w:val="5"/>
        </w:numPr>
        <w:outlineLvl w:val="0"/>
        <w:rPr>
          <w:rFonts w:ascii="Arial" w:hAnsi="Arial" w:cs="Arial"/>
          <w:b/>
          <w:color w:val="4F81BD" w:themeColor="accent1"/>
          <w:sz w:val="18"/>
          <w:szCs w:val="18"/>
        </w:rPr>
      </w:pPr>
      <w:r>
        <w:rPr>
          <w:rFonts w:ascii="Arial" w:hAnsi="Arial" w:cs="Arial"/>
          <w:b/>
          <w:bCs/>
          <w:color w:val="4181C0"/>
          <w:sz w:val="18"/>
          <w:szCs w:val="18"/>
        </w:rPr>
        <w:t xml:space="preserve">The proportion of </w:t>
      </w:r>
      <w:r w:rsidR="00184B1D">
        <w:rPr>
          <w:rFonts w:ascii="Arial" w:hAnsi="Arial" w:cs="Arial"/>
          <w:b/>
          <w:bCs/>
          <w:color w:val="4181C0"/>
          <w:sz w:val="18"/>
          <w:szCs w:val="18"/>
        </w:rPr>
        <w:t>employed persons</w:t>
      </w:r>
      <w:r>
        <w:rPr>
          <w:rFonts w:ascii="Arial" w:hAnsi="Arial" w:cs="Arial"/>
          <w:b/>
          <w:bCs/>
          <w:color w:val="4181C0"/>
          <w:sz w:val="18"/>
          <w:szCs w:val="18"/>
        </w:rPr>
        <w:t xml:space="preserve"> </w:t>
      </w:r>
      <w:r w:rsidR="00184B1D">
        <w:rPr>
          <w:rFonts w:ascii="Arial" w:hAnsi="Arial" w:cs="Arial"/>
          <w:b/>
          <w:bCs/>
          <w:color w:val="4181C0"/>
          <w:sz w:val="18"/>
          <w:szCs w:val="18"/>
        </w:rPr>
        <w:t xml:space="preserve">aged 15 years and over </w:t>
      </w:r>
      <w:r>
        <w:rPr>
          <w:rFonts w:ascii="Arial" w:hAnsi="Arial" w:cs="Arial"/>
          <w:b/>
          <w:bCs/>
          <w:color w:val="4181C0"/>
          <w:sz w:val="18"/>
          <w:szCs w:val="18"/>
        </w:rPr>
        <w:t>who reported Manufacturing as their industry of employment has declined</w:t>
      </w:r>
      <w:r w:rsidR="00184B1D">
        <w:rPr>
          <w:rFonts w:ascii="Arial" w:hAnsi="Arial" w:cs="Arial"/>
          <w:b/>
          <w:bCs/>
          <w:color w:val="4181C0"/>
          <w:sz w:val="18"/>
          <w:szCs w:val="18"/>
        </w:rPr>
        <w:t xml:space="preserve"> from 9.4% in 2006</w:t>
      </w:r>
      <w:r>
        <w:rPr>
          <w:rFonts w:ascii="Arial" w:hAnsi="Arial" w:cs="Arial"/>
          <w:b/>
          <w:bCs/>
          <w:color w:val="4181C0"/>
          <w:sz w:val="18"/>
          <w:szCs w:val="18"/>
        </w:rPr>
        <w:t xml:space="preserve"> to 8.2% in 2011</w:t>
      </w:r>
      <w:r w:rsidR="00184B1D">
        <w:rPr>
          <w:rFonts w:ascii="Arial" w:hAnsi="Arial" w:cs="Arial"/>
          <w:b/>
          <w:bCs/>
          <w:color w:val="4181C0"/>
          <w:sz w:val="18"/>
          <w:szCs w:val="18"/>
        </w:rPr>
        <w:t>;</w:t>
      </w:r>
      <w:r>
        <w:rPr>
          <w:rFonts w:ascii="Arial" w:hAnsi="Arial" w:cs="Arial"/>
          <w:b/>
          <w:bCs/>
          <w:color w:val="4181C0"/>
          <w:sz w:val="18"/>
          <w:szCs w:val="18"/>
        </w:rPr>
        <w:t xml:space="preserve"> however</w:t>
      </w:r>
      <w:r w:rsidR="00184B1D">
        <w:rPr>
          <w:rFonts w:ascii="Arial" w:hAnsi="Arial" w:cs="Arial"/>
          <w:b/>
          <w:bCs/>
          <w:color w:val="4181C0"/>
          <w:sz w:val="18"/>
          <w:szCs w:val="18"/>
        </w:rPr>
        <w:t>,</w:t>
      </w:r>
      <w:r>
        <w:rPr>
          <w:rFonts w:ascii="Arial" w:hAnsi="Arial" w:cs="Arial"/>
          <w:b/>
          <w:bCs/>
          <w:color w:val="4181C0"/>
          <w:sz w:val="18"/>
          <w:szCs w:val="18"/>
        </w:rPr>
        <w:t xml:space="preserve"> there has been a slight increase in the number of persons who reported being employed in this industry (from 88,409 in 2006 to 90,392 in 2011).</w:t>
      </w:r>
    </w:p>
    <w:p w:rsidR="002063A6" w:rsidRDefault="002063A6" w:rsidP="002063A6">
      <w:pPr>
        <w:pStyle w:val="ListParagraph"/>
        <w:numPr>
          <w:ilvl w:val="0"/>
          <w:numId w:val="5"/>
        </w:numPr>
        <w:outlineLvl w:val="0"/>
        <w:rPr>
          <w:rFonts w:ascii="Arial" w:hAnsi="Arial" w:cs="Arial"/>
          <w:b/>
          <w:bCs/>
          <w:color w:val="4181C0"/>
          <w:sz w:val="18"/>
          <w:szCs w:val="18"/>
        </w:rPr>
      </w:pPr>
      <w:r w:rsidRPr="00EC4306">
        <w:rPr>
          <w:rFonts w:ascii="Arial" w:hAnsi="Arial" w:cs="Arial"/>
          <w:b/>
          <w:bCs/>
          <w:color w:val="4181C0"/>
          <w:sz w:val="18"/>
          <w:szCs w:val="18"/>
        </w:rPr>
        <w:t xml:space="preserve">In 2011, of those who reported working in the </w:t>
      </w:r>
      <w:r>
        <w:rPr>
          <w:rFonts w:ascii="Arial" w:hAnsi="Arial" w:cs="Arial"/>
          <w:b/>
          <w:bCs/>
          <w:color w:val="4181C0"/>
          <w:sz w:val="18"/>
          <w:szCs w:val="18"/>
        </w:rPr>
        <w:t xml:space="preserve">Construction and </w:t>
      </w:r>
      <w:r w:rsidRPr="00EC4306">
        <w:rPr>
          <w:rFonts w:ascii="Arial" w:hAnsi="Arial" w:cs="Arial"/>
          <w:b/>
          <w:bCs/>
          <w:color w:val="4181C0"/>
          <w:sz w:val="18"/>
          <w:szCs w:val="18"/>
        </w:rPr>
        <w:t>Manufacturing industry,</w:t>
      </w:r>
      <w:r>
        <w:rPr>
          <w:rFonts w:ascii="Arial" w:hAnsi="Arial" w:cs="Arial"/>
          <w:b/>
          <w:bCs/>
          <w:color w:val="4181C0"/>
          <w:sz w:val="18"/>
          <w:szCs w:val="18"/>
        </w:rPr>
        <w:t xml:space="preserve"> </w:t>
      </w:r>
      <w:proofErr w:type="gramStart"/>
      <w:r w:rsidR="00C04C75">
        <w:rPr>
          <w:rFonts w:ascii="Arial" w:hAnsi="Arial" w:cs="Arial"/>
          <w:b/>
          <w:bCs/>
          <w:color w:val="4181C0"/>
          <w:sz w:val="18"/>
          <w:szCs w:val="18"/>
        </w:rPr>
        <w:t>a</w:t>
      </w:r>
      <w:r>
        <w:rPr>
          <w:rFonts w:ascii="Arial" w:hAnsi="Arial" w:cs="Arial"/>
          <w:b/>
          <w:bCs/>
          <w:color w:val="4181C0"/>
          <w:sz w:val="18"/>
          <w:szCs w:val="18"/>
        </w:rPr>
        <w:t xml:space="preserve"> higher proportion </w:t>
      </w:r>
      <w:r w:rsidR="00C04C75">
        <w:rPr>
          <w:rFonts w:ascii="Arial" w:hAnsi="Arial" w:cs="Arial"/>
          <w:b/>
          <w:bCs/>
          <w:color w:val="4181C0"/>
          <w:sz w:val="18"/>
          <w:szCs w:val="18"/>
        </w:rPr>
        <w:t>were</w:t>
      </w:r>
      <w:proofErr w:type="gramEnd"/>
      <w:r>
        <w:rPr>
          <w:rFonts w:ascii="Arial" w:hAnsi="Arial" w:cs="Arial"/>
          <w:b/>
          <w:bCs/>
          <w:color w:val="4181C0"/>
          <w:sz w:val="18"/>
          <w:szCs w:val="18"/>
        </w:rPr>
        <w:t xml:space="preserve"> males (85.2% and 76.8</w:t>
      </w:r>
      <w:r w:rsidRPr="00EC4306">
        <w:rPr>
          <w:rFonts w:ascii="Arial" w:hAnsi="Arial" w:cs="Arial"/>
          <w:b/>
          <w:bCs/>
          <w:color w:val="4181C0"/>
          <w:sz w:val="18"/>
          <w:szCs w:val="18"/>
        </w:rPr>
        <w:t xml:space="preserve">% </w:t>
      </w:r>
      <w:r>
        <w:rPr>
          <w:rFonts w:ascii="Arial" w:hAnsi="Arial" w:cs="Arial"/>
          <w:b/>
          <w:bCs/>
          <w:color w:val="4181C0"/>
          <w:sz w:val="18"/>
          <w:szCs w:val="18"/>
        </w:rPr>
        <w:t>respectively).</w:t>
      </w:r>
      <w:r w:rsidRPr="00EC4306">
        <w:rPr>
          <w:rFonts w:ascii="Arial" w:hAnsi="Arial" w:cs="Arial"/>
          <w:b/>
          <w:bCs/>
          <w:color w:val="4181C0"/>
          <w:sz w:val="18"/>
          <w:szCs w:val="18"/>
        </w:rPr>
        <w:t xml:space="preserve"> </w:t>
      </w:r>
    </w:p>
    <w:p w:rsidR="002063A6" w:rsidRPr="00EC4306" w:rsidRDefault="002063A6" w:rsidP="002063A6">
      <w:pPr>
        <w:pStyle w:val="ListParagraph"/>
        <w:numPr>
          <w:ilvl w:val="0"/>
          <w:numId w:val="5"/>
        </w:numPr>
        <w:outlineLvl w:val="0"/>
        <w:rPr>
          <w:rFonts w:ascii="Arial" w:hAnsi="Arial" w:cs="Arial"/>
          <w:b/>
          <w:bCs/>
          <w:color w:val="4181C0"/>
          <w:sz w:val="18"/>
          <w:szCs w:val="18"/>
        </w:rPr>
      </w:pPr>
      <w:r>
        <w:rPr>
          <w:rFonts w:ascii="Arial" w:hAnsi="Arial" w:cs="Arial"/>
          <w:b/>
          <w:bCs/>
          <w:color w:val="4181C0"/>
          <w:sz w:val="18"/>
          <w:szCs w:val="18"/>
        </w:rPr>
        <w:t xml:space="preserve">In 2011, of those </w:t>
      </w:r>
      <w:r w:rsidR="00C04C75">
        <w:rPr>
          <w:rFonts w:ascii="Arial" w:hAnsi="Arial" w:cs="Arial"/>
          <w:b/>
          <w:bCs/>
          <w:color w:val="4181C0"/>
          <w:sz w:val="18"/>
          <w:szCs w:val="18"/>
        </w:rPr>
        <w:t xml:space="preserve">who </w:t>
      </w:r>
      <w:r>
        <w:rPr>
          <w:rFonts w:ascii="Arial" w:hAnsi="Arial" w:cs="Arial"/>
          <w:b/>
          <w:bCs/>
          <w:color w:val="4181C0"/>
          <w:sz w:val="18"/>
          <w:szCs w:val="18"/>
        </w:rPr>
        <w:t xml:space="preserve">reported working in the </w:t>
      </w:r>
      <w:r w:rsidRPr="00EC4306">
        <w:rPr>
          <w:rFonts w:ascii="Arial" w:hAnsi="Arial" w:cs="Arial"/>
          <w:b/>
          <w:bCs/>
          <w:color w:val="4181C0"/>
          <w:sz w:val="18"/>
          <w:szCs w:val="18"/>
        </w:rPr>
        <w:t>industr</w:t>
      </w:r>
      <w:r w:rsidR="002E589E">
        <w:rPr>
          <w:rFonts w:ascii="Arial" w:hAnsi="Arial" w:cs="Arial"/>
          <w:b/>
          <w:bCs/>
          <w:color w:val="4181C0"/>
          <w:sz w:val="18"/>
          <w:szCs w:val="18"/>
        </w:rPr>
        <w:t>ies</w:t>
      </w:r>
      <w:r w:rsidRPr="00EC4306">
        <w:rPr>
          <w:rFonts w:ascii="Arial" w:hAnsi="Arial" w:cs="Arial"/>
          <w:b/>
          <w:bCs/>
          <w:color w:val="4181C0"/>
          <w:sz w:val="18"/>
          <w:szCs w:val="18"/>
        </w:rPr>
        <w:t xml:space="preserve"> of Health Care and Social Assistance, Education and Training</w:t>
      </w:r>
      <w:r w:rsidR="00C04C75">
        <w:rPr>
          <w:rFonts w:ascii="Arial" w:hAnsi="Arial" w:cs="Arial"/>
          <w:b/>
          <w:bCs/>
          <w:color w:val="4181C0"/>
          <w:sz w:val="18"/>
          <w:szCs w:val="18"/>
        </w:rPr>
        <w:t>,</w:t>
      </w:r>
      <w:r w:rsidRPr="00EC4306">
        <w:rPr>
          <w:rFonts w:ascii="Arial" w:hAnsi="Arial" w:cs="Arial"/>
          <w:b/>
          <w:bCs/>
          <w:color w:val="4181C0"/>
          <w:sz w:val="18"/>
          <w:szCs w:val="18"/>
        </w:rPr>
        <w:t xml:space="preserve"> and Retail Trade</w:t>
      </w:r>
      <w:r>
        <w:rPr>
          <w:rFonts w:ascii="Arial" w:hAnsi="Arial" w:cs="Arial"/>
          <w:b/>
          <w:bCs/>
          <w:color w:val="4181C0"/>
          <w:sz w:val="18"/>
          <w:szCs w:val="18"/>
        </w:rPr>
        <w:t xml:space="preserve">, </w:t>
      </w:r>
      <w:proofErr w:type="gramStart"/>
      <w:r>
        <w:rPr>
          <w:rFonts w:ascii="Arial" w:hAnsi="Arial" w:cs="Arial"/>
          <w:b/>
          <w:bCs/>
          <w:color w:val="4181C0"/>
          <w:sz w:val="18"/>
          <w:szCs w:val="18"/>
        </w:rPr>
        <w:t>a higher proportion were</w:t>
      </w:r>
      <w:proofErr w:type="gramEnd"/>
      <w:r>
        <w:rPr>
          <w:rFonts w:ascii="Arial" w:hAnsi="Arial" w:cs="Arial"/>
          <w:b/>
          <w:bCs/>
          <w:color w:val="4181C0"/>
          <w:sz w:val="18"/>
          <w:szCs w:val="18"/>
        </w:rPr>
        <w:t xml:space="preserve"> females (80.3</w:t>
      </w:r>
      <w:r w:rsidRPr="00EC4306">
        <w:rPr>
          <w:rFonts w:ascii="Arial" w:hAnsi="Arial" w:cs="Arial"/>
          <w:b/>
          <w:bCs/>
          <w:color w:val="4181C0"/>
          <w:sz w:val="18"/>
          <w:szCs w:val="18"/>
        </w:rPr>
        <w:t xml:space="preserve">%, </w:t>
      </w:r>
      <w:r>
        <w:rPr>
          <w:rFonts w:ascii="Arial" w:hAnsi="Arial" w:cs="Arial"/>
          <w:b/>
          <w:bCs/>
          <w:color w:val="4181C0"/>
          <w:sz w:val="18"/>
          <w:szCs w:val="18"/>
        </w:rPr>
        <w:t>72.3% and 60.3</w:t>
      </w:r>
      <w:r w:rsidRPr="00EC4306">
        <w:rPr>
          <w:rFonts w:ascii="Arial" w:hAnsi="Arial" w:cs="Arial"/>
          <w:b/>
          <w:bCs/>
          <w:color w:val="4181C0"/>
          <w:sz w:val="18"/>
          <w:szCs w:val="18"/>
        </w:rPr>
        <w:t>% respectively</w:t>
      </w:r>
      <w:r>
        <w:rPr>
          <w:rFonts w:ascii="Arial" w:hAnsi="Arial" w:cs="Arial"/>
          <w:b/>
          <w:bCs/>
          <w:color w:val="4181C0"/>
          <w:sz w:val="18"/>
          <w:szCs w:val="18"/>
        </w:rPr>
        <w:t>).</w:t>
      </w:r>
    </w:p>
    <w:p w:rsidR="00577B41" w:rsidRPr="002E589E" w:rsidRDefault="00577B41" w:rsidP="002E589E">
      <w:pPr>
        <w:ind w:left="360"/>
        <w:rPr>
          <w:rFonts w:ascii="Arial" w:hAnsi="Arial" w:cs="Arial"/>
          <w:b/>
        </w:rPr>
      </w:pPr>
    </w:p>
    <w:p w:rsidR="00E640DC" w:rsidRPr="002E589E" w:rsidRDefault="00E640DC" w:rsidP="002E589E">
      <w:pPr>
        <w:ind w:left="360"/>
        <w:rPr>
          <w:rFonts w:ascii="Arial" w:hAnsi="Arial" w:cs="Arial"/>
          <w:b/>
        </w:rPr>
      </w:pPr>
    </w:p>
    <w:p w:rsidR="00C04C75" w:rsidRDefault="00C04C75">
      <w:pPr>
        <w:rPr>
          <w:rFonts w:ascii="Arial" w:hAnsi="Arial" w:cs="Arial"/>
          <w:b/>
          <w:color w:val="000000" w:themeColor="text1"/>
        </w:rPr>
      </w:pPr>
      <w:r>
        <w:rPr>
          <w:rFonts w:ascii="Arial" w:hAnsi="Arial" w:cs="Arial"/>
          <w:b/>
          <w:color w:val="000000" w:themeColor="text1"/>
        </w:rPr>
        <w:br w:type="page"/>
      </w:r>
    </w:p>
    <w:p w:rsidR="00C04C75" w:rsidRDefault="00C04C75" w:rsidP="00C04C75">
      <w:pPr>
        <w:spacing w:after="0"/>
        <w:jc w:val="center"/>
        <w:rPr>
          <w:rFonts w:ascii="Arial" w:hAnsi="Arial" w:cs="Arial"/>
          <w:b/>
          <w:sz w:val="28"/>
          <w:szCs w:val="28"/>
        </w:rPr>
      </w:pPr>
    </w:p>
    <w:p w:rsidR="00C04C75" w:rsidRDefault="00C04C75" w:rsidP="00C04C75">
      <w:pPr>
        <w:spacing w:after="0"/>
        <w:jc w:val="center"/>
        <w:rPr>
          <w:rFonts w:ascii="Arial" w:hAnsi="Arial" w:cs="Arial"/>
          <w:b/>
          <w:sz w:val="28"/>
          <w:szCs w:val="28"/>
        </w:rPr>
      </w:pPr>
    </w:p>
    <w:p w:rsidR="00C04C75" w:rsidRDefault="00C04C75" w:rsidP="00C04C75">
      <w:pPr>
        <w:spacing w:after="0"/>
        <w:jc w:val="center"/>
        <w:rPr>
          <w:rFonts w:ascii="Arial" w:hAnsi="Arial" w:cs="Arial"/>
          <w:b/>
          <w:sz w:val="28"/>
          <w:szCs w:val="28"/>
        </w:rPr>
      </w:pPr>
    </w:p>
    <w:p w:rsidR="00C04C75" w:rsidRDefault="00C04C75" w:rsidP="00C04C75">
      <w:pPr>
        <w:spacing w:after="0"/>
        <w:jc w:val="center"/>
        <w:rPr>
          <w:rFonts w:ascii="Arial" w:hAnsi="Arial" w:cs="Arial"/>
          <w:b/>
          <w:sz w:val="28"/>
          <w:szCs w:val="28"/>
        </w:rPr>
      </w:pPr>
    </w:p>
    <w:p w:rsidR="00C04C75" w:rsidRDefault="00C04C75" w:rsidP="00C04C75">
      <w:pPr>
        <w:spacing w:after="0"/>
        <w:jc w:val="center"/>
        <w:rPr>
          <w:rFonts w:ascii="Arial" w:hAnsi="Arial" w:cs="Arial"/>
          <w:b/>
          <w:sz w:val="28"/>
          <w:szCs w:val="28"/>
        </w:rPr>
      </w:pPr>
    </w:p>
    <w:p w:rsidR="00C04C75" w:rsidRDefault="00C04C75" w:rsidP="00C04C75">
      <w:pPr>
        <w:spacing w:after="0"/>
        <w:jc w:val="center"/>
        <w:rPr>
          <w:rFonts w:ascii="Arial" w:hAnsi="Arial" w:cs="Arial"/>
          <w:b/>
          <w:sz w:val="32"/>
          <w:szCs w:val="32"/>
        </w:rPr>
      </w:pPr>
      <w:r>
        <w:rPr>
          <w:rFonts w:ascii="Arial" w:hAnsi="Arial" w:cs="Arial"/>
          <w:b/>
          <w:sz w:val="32"/>
          <w:szCs w:val="32"/>
        </w:rPr>
        <w:t xml:space="preserve">Western </w:t>
      </w:r>
      <w:r w:rsidRPr="00BF1EC3">
        <w:rPr>
          <w:rFonts w:ascii="Arial" w:hAnsi="Arial" w:cs="Arial"/>
          <w:b/>
          <w:sz w:val="32"/>
          <w:szCs w:val="32"/>
        </w:rPr>
        <w:t>Australia</w:t>
      </w:r>
    </w:p>
    <w:p w:rsidR="00C04C75" w:rsidRPr="00BF1EC3" w:rsidRDefault="00C04C75" w:rsidP="00C04C75">
      <w:pPr>
        <w:spacing w:after="0"/>
        <w:jc w:val="center"/>
        <w:rPr>
          <w:rFonts w:ascii="Arial" w:hAnsi="Arial" w:cs="Arial"/>
          <w:b/>
          <w:sz w:val="28"/>
          <w:szCs w:val="28"/>
        </w:rPr>
      </w:pPr>
    </w:p>
    <w:p w:rsidR="00233455" w:rsidRPr="00433831" w:rsidRDefault="00C04C75" w:rsidP="00B5694C">
      <w:pPr>
        <w:jc w:val="center"/>
        <w:rPr>
          <w:rFonts w:ascii="Arial" w:hAnsi="Arial" w:cs="Arial"/>
          <w:b/>
          <w:sz w:val="28"/>
          <w:szCs w:val="28"/>
        </w:rPr>
      </w:pPr>
      <w:r>
        <w:rPr>
          <w:rFonts w:ascii="Arial" w:hAnsi="Arial" w:cs="Arial"/>
          <w:b/>
          <w:color w:val="000000" w:themeColor="text1"/>
          <w:sz w:val="28"/>
          <w:szCs w:val="28"/>
        </w:rPr>
        <w:t>Top five</w:t>
      </w:r>
      <w:r w:rsidR="00936274" w:rsidRPr="00433831">
        <w:rPr>
          <w:rFonts w:ascii="Arial" w:hAnsi="Arial" w:cs="Arial"/>
          <w:b/>
          <w:color w:val="000000" w:themeColor="text1"/>
          <w:sz w:val="28"/>
          <w:szCs w:val="28"/>
        </w:rPr>
        <w:t xml:space="preserve"> </w:t>
      </w:r>
      <w:r w:rsidR="00233455" w:rsidRPr="00433831">
        <w:rPr>
          <w:rFonts w:ascii="Arial" w:hAnsi="Arial" w:cs="Arial"/>
          <w:b/>
          <w:color w:val="000000" w:themeColor="text1"/>
          <w:sz w:val="28"/>
          <w:szCs w:val="28"/>
        </w:rPr>
        <w:t>Occupations</w:t>
      </w:r>
      <w:r w:rsidR="00B5694C" w:rsidRPr="0043383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 xml:space="preserve">(employed persons aged </w:t>
      </w:r>
      <w:r>
        <w:rPr>
          <w:rFonts w:ascii="Arial" w:eastAsia="Times New Roman" w:hAnsi="Arial" w:cs="Arial"/>
          <w:b/>
          <w:color w:val="000000"/>
          <w:sz w:val="28"/>
          <w:szCs w:val="28"/>
          <w:lang w:eastAsia="en-AU"/>
        </w:rPr>
        <w:br/>
      </w:r>
      <w:r w:rsidR="00B5694C" w:rsidRPr="00433831">
        <w:rPr>
          <w:rFonts w:ascii="Arial" w:eastAsia="Times New Roman" w:hAnsi="Arial" w:cs="Arial"/>
          <w:b/>
          <w:color w:val="000000"/>
          <w:sz w:val="28"/>
          <w:szCs w:val="28"/>
          <w:lang w:eastAsia="en-AU"/>
        </w:rPr>
        <w:t>15 years and over)</w:t>
      </w:r>
    </w:p>
    <w:tbl>
      <w:tblPr>
        <w:tblStyle w:val="TableGrid"/>
        <w:tblW w:w="10490" w:type="dxa"/>
        <w:tblInd w:w="-743" w:type="dxa"/>
        <w:tblLayout w:type="fixed"/>
        <w:tblLook w:val="04A0" w:firstRow="1" w:lastRow="0" w:firstColumn="1" w:lastColumn="0" w:noHBand="0" w:noVBand="1"/>
      </w:tblPr>
      <w:tblGrid>
        <w:gridCol w:w="2411"/>
        <w:gridCol w:w="1984"/>
        <w:gridCol w:w="851"/>
        <w:gridCol w:w="1134"/>
        <w:gridCol w:w="1842"/>
        <w:gridCol w:w="993"/>
        <w:gridCol w:w="1275"/>
      </w:tblGrid>
      <w:tr w:rsidR="00276567" w:rsidRPr="008B58A5" w:rsidTr="00740DF9">
        <w:tc>
          <w:tcPr>
            <w:tcW w:w="2411" w:type="dxa"/>
            <w:tcBorders>
              <w:top w:val="nil"/>
              <w:left w:val="nil"/>
              <w:bottom w:val="nil"/>
            </w:tcBorders>
            <w:shd w:val="clear" w:color="auto" w:fill="FFFFFF" w:themeFill="background1"/>
          </w:tcPr>
          <w:p w:rsidR="00276567" w:rsidRDefault="00276567" w:rsidP="00233455">
            <w:pPr>
              <w:rPr>
                <w:rFonts w:ascii="Arial" w:hAnsi="Arial" w:cs="Arial"/>
                <w:b/>
              </w:rPr>
            </w:pPr>
          </w:p>
        </w:tc>
        <w:tc>
          <w:tcPr>
            <w:tcW w:w="3969" w:type="dxa"/>
            <w:gridSpan w:val="3"/>
            <w:shd w:val="clear" w:color="auto" w:fill="548DD4" w:themeFill="text2" w:themeFillTint="99"/>
          </w:tcPr>
          <w:p w:rsidR="00276567" w:rsidRPr="002E42CC" w:rsidRDefault="00276567" w:rsidP="00276567">
            <w:pPr>
              <w:jc w:val="center"/>
              <w:rPr>
                <w:rFonts w:ascii="Arial" w:hAnsi="Arial" w:cs="Arial"/>
                <w:b/>
              </w:rPr>
            </w:pPr>
            <w:r>
              <w:rPr>
                <w:rFonts w:ascii="Arial" w:hAnsi="Arial" w:cs="Arial"/>
                <w:b/>
              </w:rPr>
              <w:t>2011</w:t>
            </w:r>
          </w:p>
        </w:tc>
        <w:tc>
          <w:tcPr>
            <w:tcW w:w="4110" w:type="dxa"/>
            <w:gridSpan w:val="3"/>
            <w:shd w:val="clear" w:color="auto" w:fill="548DD4" w:themeFill="text2" w:themeFillTint="99"/>
          </w:tcPr>
          <w:p w:rsidR="00276567" w:rsidRDefault="00276567" w:rsidP="00276567">
            <w:pPr>
              <w:jc w:val="center"/>
              <w:rPr>
                <w:rFonts w:ascii="Arial" w:hAnsi="Arial" w:cs="Arial"/>
                <w:b/>
              </w:rPr>
            </w:pPr>
            <w:r>
              <w:rPr>
                <w:rFonts w:ascii="Arial" w:hAnsi="Arial" w:cs="Arial"/>
                <w:b/>
              </w:rPr>
              <w:t>2006</w:t>
            </w:r>
          </w:p>
        </w:tc>
      </w:tr>
      <w:tr w:rsidR="00276567" w:rsidRPr="008B58A5" w:rsidTr="004252C1">
        <w:tc>
          <w:tcPr>
            <w:tcW w:w="2411" w:type="dxa"/>
            <w:tcBorders>
              <w:top w:val="nil"/>
              <w:left w:val="nil"/>
            </w:tcBorders>
            <w:shd w:val="clear" w:color="auto" w:fill="FFFFFF" w:themeFill="background1"/>
          </w:tcPr>
          <w:p w:rsidR="00276567" w:rsidRPr="002E42CC" w:rsidRDefault="00276567" w:rsidP="00233455">
            <w:pPr>
              <w:rPr>
                <w:rFonts w:ascii="Arial" w:hAnsi="Arial" w:cs="Arial"/>
                <w:b/>
              </w:rPr>
            </w:pPr>
          </w:p>
        </w:tc>
        <w:tc>
          <w:tcPr>
            <w:tcW w:w="1984" w:type="dxa"/>
            <w:shd w:val="clear" w:color="auto" w:fill="8DB3E2" w:themeFill="text2" w:themeFillTint="66"/>
            <w:vAlign w:val="center"/>
          </w:tcPr>
          <w:p w:rsidR="00276567" w:rsidRPr="002E42CC" w:rsidRDefault="00276567" w:rsidP="004252C1">
            <w:pPr>
              <w:jc w:val="right"/>
              <w:rPr>
                <w:rFonts w:ascii="Arial" w:hAnsi="Arial" w:cs="Arial"/>
                <w:b/>
              </w:rPr>
            </w:pPr>
            <w:r>
              <w:rPr>
                <w:rFonts w:ascii="Arial" w:hAnsi="Arial" w:cs="Arial"/>
                <w:b/>
              </w:rPr>
              <w:t xml:space="preserve">Total </w:t>
            </w:r>
          </w:p>
        </w:tc>
        <w:tc>
          <w:tcPr>
            <w:tcW w:w="851"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Male</w:t>
            </w:r>
            <w:r>
              <w:rPr>
                <w:rFonts w:ascii="Arial" w:hAnsi="Arial" w:cs="Arial"/>
                <w:b/>
              </w:rPr>
              <w:t>s</w:t>
            </w:r>
          </w:p>
        </w:tc>
        <w:tc>
          <w:tcPr>
            <w:tcW w:w="1134"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Female</w:t>
            </w:r>
            <w:r>
              <w:rPr>
                <w:rFonts w:ascii="Arial" w:hAnsi="Arial" w:cs="Arial"/>
                <w:b/>
              </w:rPr>
              <w:t>s</w:t>
            </w:r>
          </w:p>
        </w:tc>
        <w:tc>
          <w:tcPr>
            <w:tcW w:w="1842" w:type="dxa"/>
            <w:shd w:val="clear" w:color="auto" w:fill="8DB3E2" w:themeFill="text2" w:themeFillTint="66"/>
            <w:vAlign w:val="center"/>
          </w:tcPr>
          <w:p w:rsidR="00276567" w:rsidRPr="002E42CC" w:rsidRDefault="00276567" w:rsidP="004252C1">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276567" w:rsidRPr="002E42CC" w:rsidRDefault="00276567" w:rsidP="004252C1">
            <w:pPr>
              <w:jc w:val="right"/>
              <w:rPr>
                <w:rFonts w:ascii="Arial" w:hAnsi="Arial" w:cs="Arial"/>
                <w:b/>
              </w:rPr>
            </w:pPr>
            <w:r w:rsidRPr="002E42CC">
              <w:rPr>
                <w:rFonts w:ascii="Arial" w:hAnsi="Arial" w:cs="Arial"/>
                <w:b/>
              </w:rPr>
              <w:t>Female</w:t>
            </w:r>
            <w:r>
              <w:rPr>
                <w:rFonts w:ascii="Arial" w:hAnsi="Arial" w:cs="Arial"/>
                <w:b/>
              </w:rPr>
              <w:t>s</w:t>
            </w:r>
          </w:p>
        </w:tc>
      </w:tr>
      <w:tr w:rsidR="002063A6" w:rsidRPr="00726F2A"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Professionals</w:t>
            </w:r>
          </w:p>
        </w:tc>
        <w:tc>
          <w:tcPr>
            <w:tcW w:w="198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218,354(19.9%)</w:t>
            </w:r>
          </w:p>
        </w:tc>
        <w:tc>
          <w:tcPr>
            <w:tcW w:w="85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47.4%</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52.6%</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173,957(18.6%)</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48.1%</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51.9%</w:t>
            </w:r>
          </w:p>
        </w:tc>
      </w:tr>
      <w:tr w:rsidR="002063A6" w:rsidRPr="00726F2A"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Technicians and Trades Workers</w:t>
            </w:r>
          </w:p>
        </w:tc>
        <w:tc>
          <w:tcPr>
            <w:tcW w:w="198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183,300(16.7%)</w:t>
            </w:r>
          </w:p>
        </w:tc>
        <w:tc>
          <w:tcPr>
            <w:tcW w:w="85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85.8%</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14.2%</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153,563(16.4%)</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85.6%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14.4%</w:t>
            </w:r>
          </w:p>
        </w:tc>
      </w:tr>
      <w:tr w:rsidR="002063A6" w:rsidRPr="00726F2A"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Clerical and Administrative Workers</w:t>
            </w:r>
          </w:p>
        </w:tc>
        <w:tc>
          <w:tcPr>
            <w:tcW w:w="198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158,181(14.4%)</w:t>
            </w:r>
          </w:p>
        </w:tc>
        <w:tc>
          <w:tcPr>
            <w:tcW w:w="85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21.7%</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78.3%</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135,975(14.5%)</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21.6%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78.4%</w:t>
            </w:r>
          </w:p>
        </w:tc>
      </w:tr>
      <w:tr w:rsidR="002063A6" w:rsidRPr="00726F2A"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Managers</w:t>
            </w:r>
          </w:p>
        </w:tc>
        <w:tc>
          <w:tcPr>
            <w:tcW w:w="198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133,801(12.2%)</w:t>
            </w:r>
          </w:p>
        </w:tc>
        <w:tc>
          <w:tcPr>
            <w:tcW w:w="85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66.2%</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33.8%</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117,032(12.5%)</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66.6%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33.4%</w:t>
            </w:r>
          </w:p>
        </w:tc>
      </w:tr>
      <w:tr w:rsidR="002063A6" w:rsidRPr="00726F2A"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Labourers</w:t>
            </w:r>
          </w:p>
        </w:tc>
        <w:tc>
          <w:tcPr>
            <w:tcW w:w="198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106,227(9.7%)</w:t>
            </w:r>
          </w:p>
        </w:tc>
        <w:tc>
          <w:tcPr>
            <w:tcW w:w="85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64.4%</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35.6%</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102,023(10.9%)</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63.7%</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36.3%</w:t>
            </w:r>
          </w:p>
        </w:tc>
      </w:tr>
      <w:tr w:rsidR="002063A6" w:rsidRPr="00726F2A" w:rsidTr="004252C1">
        <w:tc>
          <w:tcPr>
            <w:tcW w:w="2411" w:type="dxa"/>
            <w:shd w:val="clear" w:color="auto" w:fill="8DB3E2" w:themeFill="text2" w:themeFillTint="66"/>
            <w:vAlign w:val="bottom"/>
          </w:tcPr>
          <w:p w:rsidR="002063A6" w:rsidRPr="004252C1" w:rsidRDefault="002063A6" w:rsidP="004252C1">
            <w:pPr>
              <w:rPr>
                <w:rFonts w:ascii="Arial" w:hAnsi="Arial" w:cs="Arial"/>
                <w:color w:val="000000" w:themeColor="text1"/>
                <w:sz w:val="18"/>
                <w:szCs w:val="18"/>
              </w:rPr>
            </w:pPr>
            <w:r w:rsidRPr="004252C1">
              <w:rPr>
                <w:rFonts w:ascii="Arial" w:hAnsi="Arial" w:cs="Arial"/>
                <w:color w:val="000000" w:themeColor="text1"/>
                <w:sz w:val="18"/>
                <w:szCs w:val="18"/>
              </w:rPr>
              <w:t>Total persons</w:t>
            </w:r>
          </w:p>
        </w:tc>
        <w:tc>
          <w:tcPr>
            <w:tcW w:w="1984" w:type="dxa"/>
            <w:shd w:val="clear" w:color="auto" w:fill="C6D9F1" w:themeFill="text2" w:themeFillTint="33"/>
            <w:vAlign w:val="center"/>
          </w:tcPr>
          <w:p w:rsidR="002063A6" w:rsidRPr="004252C1" w:rsidRDefault="002063A6" w:rsidP="00177BBE">
            <w:pPr>
              <w:jc w:val="right"/>
              <w:rPr>
                <w:rFonts w:ascii="Arial" w:hAnsi="Arial" w:cs="Arial"/>
                <w:sz w:val="18"/>
                <w:szCs w:val="18"/>
              </w:rPr>
            </w:pPr>
            <w:r w:rsidRPr="004252C1">
              <w:rPr>
                <w:rFonts w:ascii="Arial" w:hAnsi="Arial" w:cs="Arial"/>
                <w:sz w:val="18"/>
                <w:szCs w:val="18"/>
              </w:rPr>
              <w:t>1,097,879(100.0%)</w:t>
            </w:r>
          </w:p>
        </w:tc>
        <w:tc>
          <w:tcPr>
            <w:tcW w:w="85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54.7%</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45.3%</w:t>
            </w:r>
          </w:p>
        </w:tc>
        <w:tc>
          <w:tcPr>
            <w:tcW w:w="1842" w:type="dxa"/>
            <w:shd w:val="clear" w:color="auto" w:fill="C6D9F1" w:themeFill="text2" w:themeFillTint="33"/>
          </w:tcPr>
          <w:p w:rsidR="002063A6" w:rsidRPr="004252C1" w:rsidRDefault="002063A6" w:rsidP="00177BBE">
            <w:pPr>
              <w:jc w:val="right"/>
              <w:rPr>
                <w:rFonts w:ascii="Arial" w:hAnsi="Arial" w:cs="Arial"/>
                <w:sz w:val="18"/>
                <w:szCs w:val="18"/>
              </w:rPr>
            </w:pPr>
            <w:r w:rsidRPr="004252C1">
              <w:rPr>
                <w:rFonts w:ascii="Arial" w:hAnsi="Arial" w:cs="Arial"/>
                <w:sz w:val="18"/>
                <w:szCs w:val="18"/>
              </w:rPr>
              <w:t>936,130(100.0%)</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54.9%</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45.1%</w:t>
            </w:r>
          </w:p>
        </w:tc>
      </w:tr>
    </w:tbl>
    <w:p w:rsidR="00233455" w:rsidRDefault="00233455" w:rsidP="006B4BFF">
      <w:pPr>
        <w:rPr>
          <w:rFonts w:ascii="Arial" w:hAnsi="Arial" w:cs="Arial"/>
          <w:b/>
          <w:color w:val="000000" w:themeColor="text1"/>
          <w:sz w:val="18"/>
          <w:szCs w:val="18"/>
        </w:rPr>
      </w:pP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 xml:space="preserve">In 2011, 19.9% of employed persons aged 15 years and over </w:t>
      </w:r>
      <w:r w:rsidR="00C04C75" w:rsidRPr="009F4D8B">
        <w:rPr>
          <w:rFonts w:ascii="Arial" w:hAnsi="Arial" w:cs="Arial"/>
          <w:b/>
          <w:bCs/>
          <w:color w:val="548DD4" w:themeColor="text2" w:themeTint="99"/>
          <w:sz w:val="18"/>
          <w:szCs w:val="18"/>
        </w:rPr>
        <w:t>in Western Australia reported working as P</w:t>
      </w:r>
      <w:r w:rsidRPr="009F4D8B">
        <w:rPr>
          <w:rFonts w:ascii="Arial" w:hAnsi="Arial" w:cs="Arial"/>
          <w:b/>
          <w:bCs/>
          <w:color w:val="548DD4" w:themeColor="text2" w:themeTint="99"/>
          <w:sz w:val="18"/>
          <w:szCs w:val="18"/>
        </w:rPr>
        <w:t xml:space="preserve">rofessionals. Of those who reported working as </w:t>
      </w:r>
      <w:r w:rsidR="00C04C75" w:rsidRPr="009F4D8B">
        <w:rPr>
          <w:rFonts w:ascii="Arial" w:hAnsi="Arial" w:cs="Arial"/>
          <w:b/>
          <w:bCs/>
          <w:color w:val="548DD4" w:themeColor="text2" w:themeTint="99"/>
          <w:sz w:val="18"/>
          <w:szCs w:val="18"/>
        </w:rPr>
        <w:t>P</w:t>
      </w:r>
      <w:r w:rsidRPr="009F4D8B">
        <w:rPr>
          <w:rFonts w:ascii="Arial" w:hAnsi="Arial" w:cs="Arial"/>
          <w:b/>
          <w:bCs/>
          <w:color w:val="548DD4" w:themeColor="text2" w:themeTint="99"/>
          <w:sz w:val="18"/>
          <w:szCs w:val="18"/>
        </w:rPr>
        <w:t>rofessionals, 52.6% were females.</w:t>
      </w: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Th</w:t>
      </w:r>
      <w:r w:rsidR="00C04C75" w:rsidRPr="009F4D8B">
        <w:rPr>
          <w:rFonts w:ascii="Arial" w:hAnsi="Arial" w:cs="Arial"/>
          <w:b/>
          <w:bCs/>
          <w:color w:val="548DD4" w:themeColor="text2" w:themeTint="99"/>
          <w:sz w:val="18"/>
          <w:szCs w:val="18"/>
        </w:rPr>
        <w:t>e</w:t>
      </w:r>
      <w:r w:rsidRPr="009F4D8B">
        <w:rPr>
          <w:rFonts w:ascii="Arial" w:hAnsi="Arial" w:cs="Arial"/>
          <w:b/>
          <w:bCs/>
          <w:color w:val="548DD4" w:themeColor="text2" w:themeTint="99"/>
          <w:sz w:val="18"/>
          <w:szCs w:val="18"/>
        </w:rPr>
        <w:t xml:space="preserve"> proportion of those who reported working as Professionals has increased by 1.3 percentage point</w:t>
      </w:r>
      <w:r w:rsidR="00C04C75" w:rsidRPr="009F4D8B">
        <w:rPr>
          <w:rFonts w:ascii="Arial" w:hAnsi="Arial" w:cs="Arial"/>
          <w:b/>
          <w:bCs/>
          <w:color w:val="548DD4" w:themeColor="text2" w:themeTint="99"/>
          <w:sz w:val="18"/>
          <w:szCs w:val="18"/>
        </w:rPr>
        <w:t xml:space="preserve"> from 18.6% in 2006</w:t>
      </w:r>
      <w:r w:rsidRPr="009F4D8B">
        <w:rPr>
          <w:rFonts w:ascii="Arial" w:hAnsi="Arial" w:cs="Arial"/>
          <w:b/>
          <w:bCs/>
          <w:color w:val="548DD4" w:themeColor="text2" w:themeTint="99"/>
          <w:sz w:val="18"/>
          <w:szCs w:val="18"/>
        </w:rPr>
        <w:t xml:space="preserve"> to 19.9% in 2011.</w:t>
      </w: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The number of persons who reported working as Technicians and Trade Workers increased from 153,563 (16.4%) in 2</w:t>
      </w:r>
      <w:r w:rsidR="00D404BE" w:rsidRPr="009F4D8B">
        <w:rPr>
          <w:rFonts w:ascii="Arial" w:hAnsi="Arial" w:cs="Arial"/>
          <w:b/>
          <w:bCs/>
          <w:color w:val="548DD4" w:themeColor="text2" w:themeTint="99"/>
          <w:sz w:val="18"/>
          <w:szCs w:val="18"/>
        </w:rPr>
        <w:t>006 to 183,300 (16.7%) in 2011.</w:t>
      </w: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 xml:space="preserve">The proportion of those who reported working as Clerical and Administrative Workers </w:t>
      </w:r>
      <w:r w:rsidR="00B80F32" w:rsidRPr="009F4D8B">
        <w:rPr>
          <w:rFonts w:ascii="Arial" w:hAnsi="Arial" w:cs="Arial"/>
          <w:b/>
          <w:bCs/>
          <w:color w:val="548DD4" w:themeColor="text2" w:themeTint="99"/>
          <w:sz w:val="18"/>
          <w:szCs w:val="18"/>
        </w:rPr>
        <w:t xml:space="preserve">decreased from </w:t>
      </w:r>
      <w:r w:rsidRPr="009F4D8B">
        <w:rPr>
          <w:rFonts w:ascii="Arial" w:hAnsi="Arial" w:cs="Arial"/>
          <w:b/>
          <w:bCs/>
          <w:color w:val="548DD4" w:themeColor="text2" w:themeTint="99"/>
          <w:sz w:val="18"/>
          <w:szCs w:val="18"/>
        </w:rPr>
        <w:t xml:space="preserve">14.5% </w:t>
      </w:r>
      <w:r w:rsidR="00B80F32" w:rsidRPr="009F4D8B">
        <w:rPr>
          <w:rFonts w:ascii="Arial" w:hAnsi="Arial" w:cs="Arial"/>
          <w:b/>
          <w:bCs/>
          <w:color w:val="548DD4" w:themeColor="text2" w:themeTint="99"/>
          <w:sz w:val="18"/>
          <w:szCs w:val="18"/>
        </w:rPr>
        <w:t xml:space="preserve">in 2006 to </w:t>
      </w:r>
      <w:r w:rsidRPr="009F4D8B">
        <w:rPr>
          <w:rFonts w:ascii="Arial" w:hAnsi="Arial" w:cs="Arial"/>
          <w:b/>
          <w:bCs/>
          <w:color w:val="548DD4" w:themeColor="text2" w:themeTint="99"/>
          <w:sz w:val="18"/>
          <w:szCs w:val="18"/>
        </w:rPr>
        <w:t>14.4%</w:t>
      </w:r>
      <w:r w:rsidR="00B80F32" w:rsidRPr="009F4D8B">
        <w:rPr>
          <w:rFonts w:ascii="Arial" w:hAnsi="Arial" w:cs="Arial"/>
          <w:b/>
          <w:bCs/>
          <w:color w:val="548DD4" w:themeColor="text2" w:themeTint="99"/>
          <w:sz w:val="18"/>
          <w:szCs w:val="18"/>
        </w:rPr>
        <w:t xml:space="preserve"> in 2011</w:t>
      </w:r>
      <w:r w:rsidRPr="009F4D8B">
        <w:rPr>
          <w:rFonts w:ascii="Arial" w:hAnsi="Arial" w:cs="Arial"/>
          <w:b/>
          <w:bCs/>
          <w:color w:val="548DD4" w:themeColor="text2" w:themeTint="99"/>
          <w:sz w:val="18"/>
          <w:szCs w:val="18"/>
        </w:rPr>
        <w:t xml:space="preserve">, </w:t>
      </w:r>
      <w:r w:rsidR="007D050C" w:rsidRPr="009F4D8B">
        <w:rPr>
          <w:rFonts w:ascii="Arial" w:hAnsi="Arial" w:cs="Arial"/>
          <w:b/>
          <w:bCs/>
          <w:color w:val="548DD4" w:themeColor="text2" w:themeTint="99"/>
          <w:sz w:val="18"/>
          <w:szCs w:val="18"/>
        </w:rPr>
        <w:t>but</w:t>
      </w:r>
      <w:r w:rsidRPr="009F4D8B">
        <w:rPr>
          <w:rFonts w:ascii="Arial" w:hAnsi="Arial" w:cs="Arial"/>
          <w:b/>
          <w:bCs/>
          <w:color w:val="548DD4" w:themeColor="text2" w:themeTint="99"/>
          <w:sz w:val="18"/>
          <w:szCs w:val="18"/>
        </w:rPr>
        <w:t xml:space="preserve"> there was</w:t>
      </w:r>
      <w:r w:rsidR="007D050C" w:rsidRPr="009F4D8B">
        <w:rPr>
          <w:rFonts w:ascii="Arial" w:hAnsi="Arial" w:cs="Arial"/>
          <w:b/>
          <w:bCs/>
          <w:color w:val="548DD4" w:themeColor="text2" w:themeTint="99"/>
          <w:sz w:val="18"/>
          <w:szCs w:val="18"/>
        </w:rPr>
        <w:t xml:space="preserve"> an</w:t>
      </w:r>
      <w:r w:rsidRPr="009F4D8B">
        <w:rPr>
          <w:rFonts w:ascii="Arial" w:hAnsi="Arial" w:cs="Arial"/>
          <w:b/>
          <w:bCs/>
          <w:color w:val="548DD4" w:themeColor="text2" w:themeTint="99"/>
          <w:sz w:val="18"/>
          <w:szCs w:val="18"/>
        </w:rPr>
        <w:t xml:space="preserve"> increase in </w:t>
      </w:r>
      <w:r w:rsidR="007D050C" w:rsidRPr="009F4D8B">
        <w:rPr>
          <w:rFonts w:ascii="Arial" w:hAnsi="Arial" w:cs="Arial"/>
          <w:b/>
          <w:bCs/>
          <w:color w:val="548DD4" w:themeColor="text2" w:themeTint="99"/>
          <w:sz w:val="18"/>
          <w:szCs w:val="18"/>
        </w:rPr>
        <w:t xml:space="preserve">the </w:t>
      </w:r>
      <w:r w:rsidRPr="009F4D8B">
        <w:rPr>
          <w:rFonts w:ascii="Arial" w:hAnsi="Arial" w:cs="Arial"/>
          <w:b/>
          <w:bCs/>
          <w:color w:val="548DD4" w:themeColor="text2" w:themeTint="99"/>
          <w:sz w:val="18"/>
          <w:szCs w:val="18"/>
        </w:rPr>
        <w:t xml:space="preserve">number of persons who reported working in this profession (from </w:t>
      </w:r>
      <w:r w:rsidR="002E589E" w:rsidRPr="009F4D8B">
        <w:rPr>
          <w:rFonts w:ascii="Arial" w:hAnsi="Arial" w:cs="Arial"/>
          <w:b/>
          <w:bCs/>
          <w:color w:val="548DD4" w:themeColor="text2" w:themeTint="99"/>
          <w:sz w:val="18"/>
          <w:szCs w:val="18"/>
        </w:rPr>
        <w:t>135,975</w:t>
      </w:r>
      <w:r w:rsidRPr="009F4D8B">
        <w:rPr>
          <w:rFonts w:ascii="Arial" w:hAnsi="Arial" w:cs="Arial"/>
          <w:b/>
          <w:bCs/>
          <w:color w:val="548DD4" w:themeColor="text2" w:themeTint="99"/>
          <w:sz w:val="18"/>
          <w:szCs w:val="18"/>
        </w:rPr>
        <w:t xml:space="preserve"> in 2006 to </w:t>
      </w:r>
      <w:r w:rsidR="002E589E" w:rsidRPr="009F4D8B">
        <w:rPr>
          <w:rFonts w:ascii="Arial" w:hAnsi="Arial" w:cs="Arial"/>
          <w:b/>
          <w:bCs/>
          <w:color w:val="548DD4" w:themeColor="text2" w:themeTint="99"/>
          <w:sz w:val="18"/>
          <w:szCs w:val="18"/>
        </w:rPr>
        <w:t>158,181</w:t>
      </w:r>
      <w:r w:rsidRPr="009F4D8B">
        <w:rPr>
          <w:rFonts w:ascii="Arial" w:hAnsi="Arial" w:cs="Arial"/>
          <w:b/>
          <w:bCs/>
          <w:color w:val="548DD4" w:themeColor="text2" w:themeTint="99"/>
          <w:sz w:val="18"/>
          <w:szCs w:val="18"/>
        </w:rPr>
        <w:t xml:space="preserve"> in 2011).</w:t>
      </w: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 xml:space="preserve">The proportion of those who reported working as Labourers declined (by 1.2 percentage point </w:t>
      </w:r>
      <w:r w:rsidR="007D050C" w:rsidRPr="009F4D8B">
        <w:rPr>
          <w:rFonts w:ascii="Arial" w:hAnsi="Arial" w:cs="Arial"/>
          <w:b/>
          <w:bCs/>
          <w:color w:val="548DD4" w:themeColor="text2" w:themeTint="99"/>
          <w:sz w:val="18"/>
          <w:szCs w:val="18"/>
        </w:rPr>
        <w:t xml:space="preserve">from 10.9% in 2006 </w:t>
      </w:r>
      <w:r w:rsidRPr="009F4D8B">
        <w:rPr>
          <w:rFonts w:ascii="Arial" w:hAnsi="Arial" w:cs="Arial"/>
          <w:b/>
          <w:bCs/>
          <w:color w:val="548DD4" w:themeColor="text2" w:themeTint="99"/>
          <w:sz w:val="18"/>
          <w:szCs w:val="18"/>
        </w:rPr>
        <w:t>to 9.7% in 2011</w:t>
      </w:r>
      <w:r w:rsidR="007D050C" w:rsidRPr="009F4D8B">
        <w:rPr>
          <w:rFonts w:ascii="Arial" w:hAnsi="Arial" w:cs="Arial"/>
          <w:b/>
          <w:bCs/>
          <w:color w:val="548DD4" w:themeColor="text2" w:themeTint="99"/>
          <w:sz w:val="18"/>
          <w:szCs w:val="18"/>
        </w:rPr>
        <w:t>)</w:t>
      </w:r>
      <w:r w:rsidRPr="009F4D8B">
        <w:rPr>
          <w:rFonts w:ascii="Arial" w:hAnsi="Arial" w:cs="Arial"/>
          <w:b/>
          <w:bCs/>
          <w:color w:val="548DD4" w:themeColor="text2" w:themeTint="99"/>
          <w:sz w:val="18"/>
          <w:szCs w:val="18"/>
        </w:rPr>
        <w:t xml:space="preserve"> but the number of persons who reported working in this profession</w:t>
      </w:r>
      <w:r w:rsidR="007D050C" w:rsidRPr="009F4D8B">
        <w:rPr>
          <w:rFonts w:ascii="Arial" w:hAnsi="Arial" w:cs="Arial"/>
          <w:b/>
          <w:bCs/>
          <w:color w:val="548DD4" w:themeColor="text2" w:themeTint="99"/>
          <w:sz w:val="18"/>
          <w:szCs w:val="18"/>
        </w:rPr>
        <w:t xml:space="preserve"> increased by </w:t>
      </w:r>
      <w:r w:rsidRPr="009F4D8B">
        <w:rPr>
          <w:rFonts w:ascii="Arial" w:hAnsi="Arial" w:cs="Arial"/>
          <w:b/>
          <w:bCs/>
          <w:color w:val="548DD4" w:themeColor="text2" w:themeTint="99"/>
          <w:sz w:val="18"/>
          <w:szCs w:val="18"/>
        </w:rPr>
        <w:t xml:space="preserve">4,204 persons.  </w:t>
      </w: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Of those who reported working as Technicians and Trades Workers (16.7%), a higher proportion were males (85.8%). This compared to 14.4% of persons reporting as Clerical and Administrative workers</w:t>
      </w:r>
      <w:r w:rsidR="007D050C" w:rsidRPr="009F4D8B">
        <w:rPr>
          <w:rFonts w:ascii="Arial" w:hAnsi="Arial" w:cs="Arial"/>
          <w:b/>
          <w:bCs/>
          <w:color w:val="548DD4" w:themeColor="text2" w:themeTint="99"/>
          <w:sz w:val="18"/>
          <w:szCs w:val="18"/>
        </w:rPr>
        <w:t>,</w:t>
      </w:r>
      <w:r w:rsidRPr="009F4D8B">
        <w:rPr>
          <w:rFonts w:ascii="Arial" w:hAnsi="Arial" w:cs="Arial"/>
          <w:b/>
          <w:bCs/>
          <w:color w:val="548DD4" w:themeColor="text2" w:themeTint="99"/>
          <w:sz w:val="18"/>
          <w:szCs w:val="18"/>
        </w:rPr>
        <w:t xml:space="preserve"> of </w:t>
      </w:r>
      <w:r w:rsidR="007D050C" w:rsidRPr="009F4D8B">
        <w:rPr>
          <w:rFonts w:ascii="Arial" w:hAnsi="Arial" w:cs="Arial"/>
          <w:b/>
          <w:bCs/>
          <w:color w:val="548DD4" w:themeColor="text2" w:themeTint="99"/>
          <w:sz w:val="18"/>
          <w:szCs w:val="18"/>
        </w:rPr>
        <w:t>whom</w:t>
      </w:r>
      <w:r w:rsidRPr="009F4D8B">
        <w:rPr>
          <w:rFonts w:ascii="Arial" w:hAnsi="Arial" w:cs="Arial"/>
          <w:b/>
          <w:bCs/>
          <w:color w:val="548DD4" w:themeColor="text2" w:themeTint="99"/>
          <w:sz w:val="18"/>
          <w:szCs w:val="18"/>
        </w:rPr>
        <w:t xml:space="preserve"> 78.3% were females.</w:t>
      </w: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D050C" w:rsidRDefault="007D050C">
      <w:pPr>
        <w:rPr>
          <w:rFonts w:ascii="Arial" w:hAnsi="Arial" w:cs="Arial"/>
          <w:b/>
          <w:sz w:val="28"/>
          <w:szCs w:val="28"/>
        </w:rPr>
      </w:pPr>
      <w:r>
        <w:rPr>
          <w:rFonts w:ascii="Arial" w:hAnsi="Arial" w:cs="Arial"/>
          <w:b/>
          <w:sz w:val="28"/>
          <w:szCs w:val="28"/>
        </w:rPr>
        <w:br w:type="page"/>
      </w:r>
      <w:bookmarkStart w:id="0" w:name="_GoBack"/>
      <w:bookmarkEnd w:id="0"/>
    </w:p>
    <w:p w:rsidR="00740DF9" w:rsidRDefault="00740DF9"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D6793E" w:rsidRDefault="00D6793E"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740DF9" w:rsidP="00740DF9">
      <w:pPr>
        <w:spacing w:after="0"/>
        <w:jc w:val="center"/>
        <w:rPr>
          <w:rFonts w:ascii="Arial" w:hAnsi="Arial" w:cs="Arial"/>
          <w:b/>
          <w:sz w:val="28"/>
          <w:szCs w:val="28"/>
        </w:rPr>
      </w:pPr>
    </w:p>
    <w:p w:rsidR="00740DF9" w:rsidRDefault="002063A6" w:rsidP="00740DF9">
      <w:pPr>
        <w:spacing w:after="0"/>
        <w:jc w:val="center"/>
        <w:rPr>
          <w:rFonts w:ascii="Arial" w:hAnsi="Arial" w:cs="Arial"/>
          <w:b/>
          <w:sz w:val="32"/>
          <w:szCs w:val="32"/>
        </w:rPr>
      </w:pPr>
      <w:r>
        <w:rPr>
          <w:rFonts w:ascii="Arial" w:hAnsi="Arial" w:cs="Arial"/>
          <w:b/>
          <w:sz w:val="32"/>
          <w:szCs w:val="32"/>
        </w:rPr>
        <w:t xml:space="preserve">Western </w:t>
      </w:r>
      <w:r w:rsidR="00740DF9" w:rsidRPr="00BF1EC3">
        <w:rPr>
          <w:rFonts w:ascii="Arial" w:hAnsi="Arial" w:cs="Arial"/>
          <w:b/>
          <w:sz w:val="32"/>
          <w:szCs w:val="32"/>
        </w:rPr>
        <w:t>Australia</w:t>
      </w:r>
    </w:p>
    <w:p w:rsidR="00740DF9" w:rsidRPr="00BF1EC3" w:rsidRDefault="00740DF9" w:rsidP="00740DF9">
      <w:pPr>
        <w:spacing w:after="0"/>
        <w:jc w:val="center"/>
        <w:rPr>
          <w:rFonts w:ascii="Arial" w:hAnsi="Arial" w:cs="Arial"/>
          <w:b/>
          <w:sz w:val="28"/>
          <w:szCs w:val="28"/>
        </w:rPr>
      </w:pPr>
    </w:p>
    <w:p w:rsidR="002A47EB" w:rsidRPr="00433831" w:rsidRDefault="002A47EB" w:rsidP="002A47EB">
      <w:pPr>
        <w:jc w:val="center"/>
        <w:rPr>
          <w:rFonts w:ascii="Arial" w:hAnsi="Arial" w:cs="Arial"/>
          <w:b/>
          <w:color w:val="000000" w:themeColor="text1"/>
          <w:sz w:val="28"/>
          <w:szCs w:val="28"/>
        </w:rPr>
      </w:pPr>
      <w:r w:rsidRPr="00433831">
        <w:rPr>
          <w:rFonts w:ascii="Arial" w:eastAsia="Times New Roman" w:hAnsi="Arial" w:cs="Arial"/>
          <w:b/>
          <w:color w:val="000000"/>
          <w:sz w:val="28"/>
          <w:szCs w:val="28"/>
          <w:lang w:eastAsia="en-AU"/>
        </w:rPr>
        <w:t>Highest Level of Education (all persons aged 15 years and over)</w:t>
      </w:r>
    </w:p>
    <w:tbl>
      <w:tblPr>
        <w:tblStyle w:val="TableGrid"/>
        <w:tblW w:w="10490" w:type="dxa"/>
        <w:tblInd w:w="-743" w:type="dxa"/>
        <w:tblLook w:val="04A0" w:firstRow="1" w:lastRow="0" w:firstColumn="1" w:lastColumn="0" w:noHBand="0" w:noVBand="1"/>
      </w:tblPr>
      <w:tblGrid>
        <w:gridCol w:w="2086"/>
        <w:gridCol w:w="1748"/>
        <w:gridCol w:w="1119"/>
        <w:gridCol w:w="1132"/>
        <w:gridCol w:w="1748"/>
        <w:gridCol w:w="1302"/>
        <w:gridCol w:w="1355"/>
      </w:tblGrid>
      <w:tr w:rsidR="002A47EB" w:rsidTr="00D404BE">
        <w:tc>
          <w:tcPr>
            <w:tcW w:w="2127" w:type="dxa"/>
            <w:tcBorders>
              <w:top w:val="nil"/>
              <w:left w:val="nil"/>
              <w:bottom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3969" w:type="dxa"/>
            <w:gridSpan w:val="3"/>
            <w:shd w:val="clear" w:color="auto" w:fill="548DD4" w:themeFill="text2" w:themeFillTint="99"/>
          </w:tcPr>
          <w:p w:rsidR="002A47EB" w:rsidRPr="000A21E0" w:rsidRDefault="002A47EB" w:rsidP="002A47EB">
            <w:pPr>
              <w:jc w:val="center"/>
              <w:rPr>
                <w:rFonts w:ascii="Arial" w:hAnsi="Arial" w:cs="Arial"/>
                <w:b/>
              </w:rPr>
            </w:pPr>
            <w:r w:rsidRPr="000A21E0">
              <w:rPr>
                <w:rFonts w:ascii="Arial" w:hAnsi="Arial" w:cs="Arial"/>
                <w:b/>
              </w:rPr>
              <w:t>2011</w:t>
            </w:r>
          </w:p>
        </w:tc>
        <w:tc>
          <w:tcPr>
            <w:tcW w:w="4394" w:type="dxa"/>
            <w:gridSpan w:val="3"/>
            <w:shd w:val="clear" w:color="auto" w:fill="548DD4" w:themeFill="text2" w:themeFillTint="99"/>
          </w:tcPr>
          <w:p w:rsidR="002A47EB" w:rsidRPr="000A21E0" w:rsidRDefault="002A47EB" w:rsidP="002A47EB">
            <w:pPr>
              <w:jc w:val="center"/>
              <w:rPr>
                <w:rFonts w:ascii="Arial" w:hAnsi="Arial" w:cs="Arial"/>
                <w:b/>
              </w:rPr>
            </w:pPr>
            <w:r>
              <w:rPr>
                <w:rFonts w:ascii="Arial" w:hAnsi="Arial" w:cs="Arial"/>
                <w:b/>
              </w:rPr>
              <w:t>2006</w:t>
            </w:r>
          </w:p>
        </w:tc>
      </w:tr>
      <w:tr w:rsidR="002A47EB" w:rsidTr="004252C1">
        <w:tc>
          <w:tcPr>
            <w:tcW w:w="2127" w:type="dxa"/>
            <w:tcBorders>
              <w:top w:val="nil"/>
              <w:left w:val="nil"/>
            </w:tcBorders>
            <w:shd w:val="clear" w:color="auto" w:fill="FFFFFF" w:themeFill="background1"/>
            <w:vAlign w:val="center"/>
          </w:tcPr>
          <w:p w:rsidR="002A47EB" w:rsidRPr="002E42CC" w:rsidRDefault="002A47EB" w:rsidP="002A47EB">
            <w:pPr>
              <w:spacing w:before="60"/>
              <w:jc w:val="center"/>
              <w:rPr>
                <w:rFonts w:ascii="Arial" w:eastAsia="Times New Roman" w:hAnsi="Arial" w:cs="Arial"/>
                <w:color w:val="000000"/>
                <w:sz w:val="18"/>
                <w:szCs w:val="18"/>
                <w:lang w:eastAsia="en-AU"/>
              </w:rPr>
            </w:pPr>
          </w:p>
        </w:tc>
        <w:tc>
          <w:tcPr>
            <w:tcW w:w="1701"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Total</w:t>
            </w:r>
          </w:p>
        </w:tc>
        <w:tc>
          <w:tcPr>
            <w:tcW w:w="1134"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Males</w:t>
            </w:r>
          </w:p>
        </w:tc>
        <w:tc>
          <w:tcPr>
            <w:tcW w:w="1134"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c>
          <w:tcPr>
            <w:tcW w:w="1698"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Total</w:t>
            </w:r>
          </w:p>
        </w:tc>
        <w:tc>
          <w:tcPr>
            <w:tcW w:w="1327"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Males</w:t>
            </w:r>
          </w:p>
        </w:tc>
        <w:tc>
          <w:tcPr>
            <w:tcW w:w="1369"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Fem</w:t>
            </w:r>
            <w:r w:rsidRPr="002E42CC">
              <w:rPr>
                <w:rFonts w:ascii="Arial" w:hAnsi="Arial" w:cs="Arial"/>
                <w:b/>
              </w:rPr>
              <w:t>ale</w:t>
            </w:r>
            <w:r>
              <w:rPr>
                <w:rFonts w:ascii="Arial" w:hAnsi="Arial" w:cs="Arial"/>
                <w:b/>
              </w:rPr>
              <w:t>s</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Postgraduate Degree</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51,628(2.9%)</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56.0%</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44.0%</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31,669(2.0%)</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59.3%</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40.7%</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 xml:space="preserve">Graduate Diploma </w:t>
            </w:r>
            <w:r w:rsidR="00D404BE" w:rsidRPr="004252C1">
              <w:rPr>
                <w:rFonts w:ascii="Arial" w:eastAsia="Times New Roman" w:hAnsi="Arial" w:cs="Arial"/>
                <w:color w:val="000000"/>
                <w:sz w:val="18"/>
                <w:szCs w:val="18"/>
                <w:lang w:eastAsia="en-AU"/>
              </w:rPr>
              <w:t>and Graduate</w:t>
            </w:r>
            <w:r w:rsidRPr="004252C1">
              <w:rPr>
                <w:rFonts w:ascii="Arial" w:eastAsia="Times New Roman" w:hAnsi="Arial" w:cs="Arial"/>
                <w:color w:val="000000"/>
                <w:sz w:val="18"/>
                <w:szCs w:val="18"/>
                <w:lang w:eastAsia="en-AU"/>
              </w:rPr>
              <w:t xml:space="preserve"> Certificate</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29,483(1.6%)</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36.3%</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63.7%</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20,698(1.3%)</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36.8%</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63.2%</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Bachelor Degree</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234,399(13.0%)</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44.3%</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55.7%</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173,245(11.1%)</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45.2%</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54.8%</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Advanced Diploma and Diploma</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146,283(8.1%)</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42.9%</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57.1%</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116,162(7.4%)</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42.7%</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57.3%</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Certificate III/IV</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299,823(16.7%)</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71.9%</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28.1%</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230,621(14.8%)</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74.9%</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25.1%</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Year 12</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311,821(17.3%)</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46.2%</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53.8%</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263,066(16.8%)</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46.2%</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53.8%</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Year 11 or below (includes Certificate I/II/</w:t>
            </w:r>
            <w:proofErr w:type="spellStart"/>
            <w:r w:rsidRPr="004252C1">
              <w:rPr>
                <w:rFonts w:ascii="Arial" w:eastAsia="Times New Roman" w:hAnsi="Arial" w:cs="Arial"/>
                <w:color w:val="000000"/>
                <w:sz w:val="18"/>
                <w:szCs w:val="18"/>
                <w:lang w:eastAsia="en-AU"/>
              </w:rPr>
              <w:t>nfd</w:t>
            </w:r>
            <w:proofErr w:type="spellEnd"/>
            <w:r w:rsidRPr="004252C1">
              <w:rPr>
                <w:rFonts w:ascii="Arial" w:eastAsia="Times New Roman" w:hAnsi="Arial" w:cs="Arial"/>
                <w:color w:val="000000"/>
                <w:sz w:val="18"/>
                <w:szCs w:val="18"/>
                <w:lang w:eastAsia="en-AU"/>
              </w:rPr>
              <w:t>)</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495,079(27.5%)</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43.7%</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56.3%</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488,470(31.3%)</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42.8%</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57.2%</w:t>
            </w:r>
          </w:p>
        </w:tc>
      </w:tr>
      <w:tr w:rsidR="002063A6" w:rsidTr="004252C1">
        <w:tc>
          <w:tcPr>
            <w:tcW w:w="2127"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Total persons</w:t>
            </w:r>
          </w:p>
        </w:tc>
        <w:tc>
          <w:tcPr>
            <w:tcW w:w="170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1,799,701(100.0%)</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50.0%</w:t>
            </w:r>
          </w:p>
        </w:tc>
        <w:tc>
          <w:tcPr>
            <w:tcW w:w="1134"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50.0%</w:t>
            </w:r>
          </w:p>
        </w:tc>
        <w:tc>
          <w:tcPr>
            <w:tcW w:w="1698"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1,562,653(100.0%)</w:t>
            </w:r>
          </w:p>
        </w:tc>
        <w:tc>
          <w:tcPr>
            <w:tcW w:w="1327"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49.4%</w:t>
            </w:r>
          </w:p>
        </w:tc>
        <w:tc>
          <w:tcPr>
            <w:tcW w:w="1369"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50.6%</w:t>
            </w:r>
          </w:p>
        </w:tc>
      </w:tr>
    </w:tbl>
    <w:p w:rsidR="00726F2A" w:rsidRPr="005A68DC" w:rsidRDefault="005A68DC" w:rsidP="00E640DC">
      <w:pPr>
        <w:rPr>
          <w:rFonts w:ascii="Arial" w:hAnsi="Arial" w:cs="Arial"/>
          <w:color w:val="000000" w:themeColor="text1"/>
          <w:sz w:val="16"/>
          <w:szCs w:val="16"/>
        </w:rPr>
      </w:pPr>
      <w:proofErr w:type="spellStart"/>
      <w:proofErr w:type="gramStart"/>
      <w:r w:rsidRPr="005A68DC">
        <w:rPr>
          <w:rFonts w:ascii="Arial" w:hAnsi="Arial" w:cs="Arial"/>
          <w:color w:val="000000" w:themeColor="text1"/>
          <w:sz w:val="16"/>
          <w:szCs w:val="16"/>
        </w:rPr>
        <w:t>nfd</w:t>
      </w:r>
      <w:proofErr w:type="spellEnd"/>
      <w:proofErr w:type="gramEnd"/>
      <w:r w:rsidRPr="005A68DC">
        <w:rPr>
          <w:rFonts w:ascii="Arial" w:hAnsi="Arial" w:cs="Arial"/>
          <w:color w:val="000000" w:themeColor="text1"/>
          <w:sz w:val="16"/>
          <w:szCs w:val="16"/>
        </w:rPr>
        <w:t>: not further defined</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 xml:space="preserve">In 2011, there was a significant increase in </w:t>
      </w:r>
      <w:r w:rsidR="007D050C" w:rsidRPr="009F4D8B">
        <w:rPr>
          <w:rFonts w:ascii="Arial" w:hAnsi="Arial" w:cs="Arial"/>
          <w:b/>
          <w:bCs/>
          <w:color w:val="548DD4" w:themeColor="text2" w:themeTint="99"/>
          <w:sz w:val="18"/>
          <w:szCs w:val="18"/>
        </w:rPr>
        <w:t xml:space="preserve">the </w:t>
      </w:r>
      <w:r w:rsidRPr="009F4D8B">
        <w:rPr>
          <w:rFonts w:ascii="Arial" w:hAnsi="Arial" w:cs="Arial"/>
          <w:b/>
          <w:bCs/>
          <w:color w:val="548DD4" w:themeColor="text2" w:themeTint="99"/>
          <w:sz w:val="18"/>
          <w:szCs w:val="18"/>
        </w:rPr>
        <w:t>number of persons</w:t>
      </w:r>
      <w:r w:rsidR="000852FC" w:rsidRPr="009F4D8B">
        <w:rPr>
          <w:rFonts w:ascii="Arial" w:hAnsi="Arial" w:cs="Arial"/>
          <w:b/>
          <w:bCs/>
          <w:color w:val="548DD4" w:themeColor="text2" w:themeTint="99"/>
          <w:sz w:val="18"/>
          <w:szCs w:val="18"/>
        </w:rPr>
        <w:t xml:space="preserve"> aged 15 years and over</w:t>
      </w:r>
      <w:r w:rsidRPr="009F4D8B">
        <w:rPr>
          <w:rFonts w:ascii="Arial" w:hAnsi="Arial" w:cs="Arial"/>
          <w:b/>
          <w:bCs/>
          <w:color w:val="548DD4" w:themeColor="text2" w:themeTint="99"/>
          <w:sz w:val="18"/>
          <w:szCs w:val="18"/>
        </w:rPr>
        <w:t xml:space="preserve"> </w:t>
      </w:r>
      <w:r w:rsidR="007D050C" w:rsidRPr="009F4D8B">
        <w:rPr>
          <w:rFonts w:ascii="Arial" w:hAnsi="Arial" w:cs="Arial"/>
          <w:b/>
          <w:bCs/>
          <w:color w:val="548DD4" w:themeColor="text2" w:themeTint="99"/>
          <w:sz w:val="18"/>
          <w:szCs w:val="18"/>
        </w:rPr>
        <w:t xml:space="preserve">in Western Australia </w:t>
      </w:r>
      <w:r w:rsidRPr="009F4D8B">
        <w:rPr>
          <w:rFonts w:ascii="Arial" w:hAnsi="Arial" w:cs="Arial"/>
          <w:b/>
          <w:bCs/>
          <w:color w:val="548DD4" w:themeColor="text2" w:themeTint="99"/>
          <w:sz w:val="18"/>
          <w:szCs w:val="18"/>
        </w:rPr>
        <w:t>who reported completing a Postgraduate Degree</w:t>
      </w:r>
      <w:r w:rsidR="007D050C" w:rsidRPr="009F4D8B">
        <w:rPr>
          <w:rFonts w:ascii="Arial" w:hAnsi="Arial" w:cs="Arial"/>
          <w:b/>
          <w:bCs/>
          <w:color w:val="548DD4" w:themeColor="text2" w:themeTint="99"/>
          <w:sz w:val="18"/>
          <w:szCs w:val="18"/>
        </w:rPr>
        <w:t>,</w:t>
      </w:r>
      <w:r w:rsidRPr="009F4D8B">
        <w:rPr>
          <w:rFonts w:ascii="Arial" w:hAnsi="Arial" w:cs="Arial"/>
          <w:b/>
          <w:bCs/>
          <w:color w:val="548DD4" w:themeColor="text2" w:themeTint="99"/>
          <w:sz w:val="18"/>
          <w:szCs w:val="18"/>
        </w:rPr>
        <w:t xml:space="preserve"> from 31,669 in 2006 to 51,628 in 2011 (a 63.0% increase).</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 xml:space="preserve">There has also been </w:t>
      </w:r>
      <w:r w:rsidR="007D050C" w:rsidRPr="009F4D8B">
        <w:rPr>
          <w:rFonts w:ascii="Arial" w:hAnsi="Arial" w:cs="Arial"/>
          <w:b/>
          <w:bCs/>
          <w:color w:val="548DD4" w:themeColor="text2" w:themeTint="99"/>
          <w:sz w:val="18"/>
          <w:szCs w:val="18"/>
        </w:rPr>
        <w:t xml:space="preserve">a </w:t>
      </w:r>
      <w:r w:rsidRPr="009F4D8B">
        <w:rPr>
          <w:rFonts w:ascii="Arial" w:hAnsi="Arial" w:cs="Arial"/>
          <w:b/>
          <w:bCs/>
          <w:color w:val="548DD4" w:themeColor="text2" w:themeTint="99"/>
          <w:sz w:val="18"/>
          <w:szCs w:val="18"/>
        </w:rPr>
        <w:t xml:space="preserve">significant increase in </w:t>
      </w:r>
      <w:r w:rsidR="007D050C" w:rsidRPr="009F4D8B">
        <w:rPr>
          <w:rFonts w:ascii="Arial" w:hAnsi="Arial" w:cs="Arial"/>
          <w:b/>
          <w:bCs/>
          <w:color w:val="548DD4" w:themeColor="text2" w:themeTint="99"/>
          <w:sz w:val="18"/>
          <w:szCs w:val="18"/>
        </w:rPr>
        <w:t>the number of persons</w:t>
      </w:r>
      <w:r w:rsidRPr="009F4D8B">
        <w:rPr>
          <w:rFonts w:ascii="Arial" w:hAnsi="Arial" w:cs="Arial"/>
          <w:b/>
          <w:bCs/>
          <w:color w:val="548DD4" w:themeColor="text2" w:themeTint="99"/>
          <w:sz w:val="18"/>
          <w:szCs w:val="18"/>
        </w:rPr>
        <w:t xml:space="preserve"> who reported completing a Graduate Diploma or </w:t>
      </w:r>
      <w:r w:rsidR="007D050C" w:rsidRPr="009F4D8B">
        <w:rPr>
          <w:rFonts w:ascii="Arial" w:hAnsi="Arial" w:cs="Arial"/>
          <w:b/>
          <w:bCs/>
          <w:color w:val="548DD4" w:themeColor="text2" w:themeTint="99"/>
          <w:sz w:val="18"/>
          <w:szCs w:val="18"/>
        </w:rPr>
        <w:t xml:space="preserve">Graduate </w:t>
      </w:r>
      <w:r w:rsidRPr="009F4D8B">
        <w:rPr>
          <w:rFonts w:ascii="Arial" w:hAnsi="Arial" w:cs="Arial"/>
          <w:b/>
          <w:bCs/>
          <w:color w:val="548DD4" w:themeColor="text2" w:themeTint="99"/>
          <w:sz w:val="18"/>
          <w:szCs w:val="18"/>
        </w:rPr>
        <w:t>Certificate as their highest level of education</w:t>
      </w:r>
      <w:r w:rsidR="000852FC" w:rsidRPr="009F4D8B">
        <w:rPr>
          <w:rFonts w:ascii="Arial" w:hAnsi="Arial" w:cs="Arial"/>
          <w:b/>
          <w:bCs/>
          <w:color w:val="548DD4" w:themeColor="text2" w:themeTint="99"/>
          <w:sz w:val="18"/>
          <w:szCs w:val="18"/>
        </w:rPr>
        <w:t>,</w:t>
      </w:r>
      <w:r w:rsidRPr="009F4D8B">
        <w:rPr>
          <w:rFonts w:ascii="Arial" w:hAnsi="Arial" w:cs="Arial"/>
          <w:b/>
          <w:bCs/>
          <w:color w:val="548DD4" w:themeColor="text2" w:themeTint="99"/>
          <w:sz w:val="18"/>
          <w:szCs w:val="18"/>
        </w:rPr>
        <w:t xml:space="preserve"> from 20,698 in 2006 to 29,483 in 2011 (an increase of 42.4%).</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 xml:space="preserve">There was </w:t>
      </w:r>
      <w:r w:rsidR="000852FC" w:rsidRPr="009F4D8B">
        <w:rPr>
          <w:rFonts w:ascii="Arial" w:hAnsi="Arial" w:cs="Arial"/>
          <w:b/>
          <w:bCs/>
          <w:color w:val="548DD4" w:themeColor="text2" w:themeTint="99"/>
          <w:sz w:val="18"/>
          <w:szCs w:val="18"/>
        </w:rPr>
        <w:t xml:space="preserve">a </w:t>
      </w:r>
      <w:r w:rsidRPr="009F4D8B">
        <w:rPr>
          <w:rFonts w:ascii="Arial" w:hAnsi="Arial" w:cs="Arial"/>
          <w:b/>
          <w:bCs/>
          <w:color w:val="548DD4" w:themeColor="text2" w:themeTint="99"/>
          <w:sz w:val="18"/>
          <w:szCs w:val="18"/>
        </w:rPr>
        <w:t xml:space="preserve">significant </w:t>
      </w:r>
      <w:r w:rsidR="000852FC" w:rsidRPr="009F4D8B">
        <w:rPr>
          <w:rFonts w:ascii="Arial" w:hAnsi="Arial" w:cs="Arial"/>
          <w:b/>
          <w:bCs/>
          <w:color w:val="548DD4" w:themeColor="text2" w:themeTint="99"/>
          <w:sz w:val="18"/>
          <w:szCs w:val="18"/>
        </w:rPr>
        <w:t>increase</w:t>
      </w:r>
      <w:r w:rsidRPr="009F4D8B">
        <w:rPr>
          <w:rFonts w:ascii="Arial" w:hAnsi="Arial" w:cs="Arial"/>
          <w:b/>
          <w:bCs/>
          <w:color w:val="548DD4" w:themeColor="text2" w:themeTint="99"/>
          <w:sz w:val="18"/>
          <w:szCs w:val="18"/>
        </w:rPr>
        <w:t xml:space="preserve"> in </w:t>
      </w:r>
      <w:r w:rsidR="000852FC" w:rsidRPr="009F4D8B">
        <w:rPr>
          <w:rFonts w:ascii="Arial" w:hAnsi="Arial" w:cs="Arial"/>
          <w:b/>
          <w:bCs/>
          <w:color w:val="548DD4" w:themeColor="text2" w:themeTint="99"/>
          <w:sz w:val="18"/>
          <w:szCs w:val="18"/>
        </w:rPr>
        <w:t>persons</w:t>
      </w:r>
      <w:r w:rsidRPr="009F4D8B">
        <w:rPr>
          <w:rFonts w:ascii="Arial" w:hAnsi="Arial" w:cs="Arial"/>
          <w:b/>
          <w:bCs/>
          <w:color w:val="548DD4" w:themeColor="text2" w:themeTint="99"/>
          <w:sz w:val="18"/>
          <w:szCs w:val="18"/>
        </w:rPr>
        <w:t xml:space="preserve"> who reported completing a Bachelor Degree as their highest level of education, from 173,245 in 2006 to 234,399 in 2011 (an increase of 35.3%).</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 xml:space="preserve">There has been a slight increase in </w:t>
      </w:r>
      <w:r w:rsidR="000852FC" w:rsidRPr="009F4D8B">
        <w:rPr>
          <w:rFonts w:ascii="Arial" w:hAnsi="Arial" w:cs="Arial"/>
          <w:b/>
          <w:bCs/>
          <w:color w:val="548DD4" w:themeColor="text2" w:themeTint="99"/>
          <w:sz w:val="18"/>
          <w:szCs w:val="18"/>
        </w:rPr>
        <w:t>the number of persons</w:t>
      </w:r>
      <w:r w:rsidRPr="009F4D8B">
        <w:rPr>
          <w:rFonts w:ascii="Arial" w:hAnsi="Arial" w:cs="Arial"/>
          <w:b/>
          <w:bCs/>
          <w:color w:val="548DD4" w:themeColor="text2" w:themeTint="99"/>
          <w:sz w:val="18"/>
          <w:szCs w:val="18"/>
        </w:rPr>
        <w:t xml:space="preserve"> who reported Year 11 and below </w:t>
      </w:r>
      <w:r w:rsidR="000852FC" w:rsidRPr="009F4D8B">
        <w:rPr>
          <w:rFonts w:ascii="Arial" w:hAnsi="Arial" w:cs="Arial"/>
          <w:b/>
          <w:bCs/>
          <w:color w:val="548DD4" w:themeColor="text2" w:themeTint="99"/>
          <w:sz w:val="18"/>
          <w:szCs w:val="18"/>
        </w:rPr>
        <w:t>(</w:t>
      </w:r>
      <w:r w:rsidRPr="009F4D8B">
        <w:rPr>
          <w:rFonts w:ascii="Arial" w:hAnsi="Arial" w:cs="Arial"/>
          <w:b/>
          <w:bCs/>
          <w:color w:val="548DD4" w:themeColor="text2" w:themeTint="99"/>
          <w:sz w:val="18"/>
          <w:szCs w:val="18"/>
        </w:rPr>
        <w:t>including Certificate level I/II) as their highest level of education, from 488,470 in 2006 to 495,079 in 2011.</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 xml:space="preserve">A higher proportion of those who reported their highest level of education as Graduate Diploma or </w:t>
      </w:r>
      <w:r w:rsidR="000852FC" w:rsidRPr="009F4D8B">
        <w:rPr>
          <w:rFonts w:ascii="Arial" w:hAnsi="Arial" w:cs="Arial"/>
          <w:b/>
          <w:bCs/>
          <w:color w:val="548DD4" w:themeColor="text2" w:themeTint="99"/>
          <w:sz w:val="18"/>
          <w:szCs w:val="18"/>
        </w:rPr>
        <w:t xml:space="preserve">Graduate </w:t>
      </w:r>
      <w:r w:rsidRPr="009F4D8B">
        <w:rPr>
          <w:rFonts w:ascii="Arial" w:hAnsi="Arial" w:cs="Arial"/>
          <w:b/>
          <w:bCs/>
          <w:color w:val="548DD4" w:themeColor="text2" w:themeTint="99"/>
          <w:sz w:val="18"/>
          <w:szCs w:val="18"/>
        </w:rPr>
        <w:t xml:space="preserve">Certificate, </w:t>
      </w:r>
      <w:r w:rsidR="000852FC" w:rsidRPr="009F4D8B">
        <w:rPr>
          <w:rFonts w:ascii="Arial" w:hAnsi="Arial" w:cs="Arial"/>
          <w:b/>
          <w:bCs/>
          <w:color w:val="548DD4" w:themeColor="text2" w:themeTint="99"/>
          <w:sz w:val="18"/>
          <w:szCs w:val="18"/>
        </w:rPr>
        <w:t>Bachelor Degree,</w:t>
      </w:r>
      <w:r w:rsidRPr="009F4D8B">
        <w:rPr>
          <w:rFonts w:ascii="Arial" w:hAnsi="Arial" w:cs="Arial"/>
          <w:b/>
          <w:bCs/>
          <w:color w:val="548DD4" w:themeColor="text2" w:themeTint="99"/>
          <w:sz w:val="18"/>
          <w:szCs w:val="18"/>
        </w:rPr>
        <w:t xml:space="preserve"> and Advance</w:t>
      </w:r>
      <w:r w:rsidR="000852FC" w:rsidRPr="009F4D8B">
        <w:rPr>
          <w:rFonts w:ascii="Arial" w:hAnsi="Arial" w:cs="Arial"/>
          <w:b/>
          <w:bCs/>
          <w:color w:val="548DD4" w:themeColor="text2" w:themeTint="99"/>
          <w:sz w:val="18"/>
          <w:szCs w:val="18"/>
        </w:rPr>
        <w:t>d</w:t>
      </w:r>
      <w:r w:rsidRPr="009F4D8B">
        <w:rPr>
          <w:rFonts w:ascii="Arial" w:hAnsi="Arial" w:cs="Arial"/>
          <w:b/>
          <w:bCs/>
          <w:color w:val="548DD4" w:themeColor="text2" w:themeTint="99"/>
          <w:sz w:val="18"/>
          <w:szCs w:val="18"/>
        </w:rPr>
        <w:t xml:space="preserve"> Diploma and Diploma were females (63.7%, 55.7% and 57.1% respectively).</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 xml:space="preserve">Of those who reported completing Certificate III/IV as their highest level of education a higher proportion were males (71.9%). </w:t>
      </w:r>
    </w:p>
    <w:p w:rsidR="00CE1624" w:rsidRPr="00D404BE" w:rsidRDefault="00CE1624" w:rsidP="00D404BE">
      <w:pPr>
        <w:ind w:left="360"/>
        <w:rPr>
          <w:rFonts w:ascii="Arial" w:eastAsia="Times New Roman" w:hAnsi="Arial" w:cs="Arial"/>
          <w:color w:val="000000"/>
          <w:lang w:eastAsia="en-AU"/>
        </w:rPr>
      </w:pPr>
    </w:p>
    <w:p w:rsidR="00CE1624" w:rsidRPr="00D404BE" w:rsidRDefault="00CE1624" w:rsidP="00D404BE">
      <w:pPr>
        <w:ind w:left="360"/>
        <w:rPr>
          <w:rFonts w:ascii="Arial" w:hAnsi="Arial" w:cs="Arial"/>
          <w:b/>
          <w:color w:val="000000" w:themeColor="text1"/>
        </w:rPr>
      </w:pPr>
    </w:p>
    <w:p w:rsidR="00CE1624" w:rsidRPr="00D404BE" w:rsidRDefault="00CE1624" w:rsidP="00D404BE">
      <w:pPr>
        <w:ind w:left="360"/>
        <w:rPr>
          <w:rFonts w:ascii="Arial" w:hAnsi="Arial" w:cs="Arial"/>
          <w:b/>
          <w:color w:val="000000" w:themeColor="text1"/>
        </w:rPr>
      </w:pPr>
    </w:p>
    <w:p w:rsidR="00CE1624" w:rsidRDefault="00CE1624" w:rsidP="00E640DC">
      <w:pPr>
        <w:rPr>
          <w:rFonts w:ascii="Arial" w:hAnsi="Arial" w:cs="Arial"/>
          <w:b/>
          <w:color w:val="000000" w:themeColor="text1"/>
        </w:rPr>
      </w:pPr>
    </w:p>
    <w:p w:rsidR="00CE1624" w:rsidRDefault="00CE1624">
      <w:pPr>
        <w:rPr>
          <w:rFonts w:ascii="Arial" w:hAnsi="Arial" w:cs="Arial"/>
          <w:b/>
          <w:color w:val="000000" w:themeColor="text1"/>
        </w:rPr>
      </w:pPr>
      <w:r>
        <w:rPr>
          <w:rFonts w:ascii="Arial" w:hAnsi="Arial" w:cs="Arial"/>
          <w:b/>
          <w:color w:val="000000" w:themeColor="text1"/>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2063A6" w:rsidP="00CE1624">
      <w:pPr>
        <w:spacing w:after="0"/>
        <w:jc w:val="center"/>
        <w:rPr>
          <w:rFonts w:ascii="Arial" w:hAnsi="Arial" w:cs="Arial"/>
          <w:b/>
          <w:sz w:val="32"/>
          <w:szCs w:val="32"/>
        </w:rPr>
      </w:pPr>
      <w:r>
        <w:rPr>
          <w:rFonts w:ascii="Arial" w:hAnsi="Arial" w:cs="Arial"/>
          <w:b/>
          <w:sz w:val="32"/>
          <w:szCs w:val="32"/>
        </w:rPr>
        <w:t xml:space="preserve">Western </w:t>
      </w:r>
      <w:r w:rsidR="00CE1624" w:rsidRPr="00BF1EC3">
        <w:rPr>
          <w:rFonts w:ascii="Arial" w:hAnsi="Arial" w:cs="Arial"/>
          <w:b/>
          <w:sz w:val="32"/>
          <w:szCs w:val="32"/>
        </w:rPr>
        <w:t>Australia</w:t>
      </w:r>
    </w:p>
    <w:p w:rsidR="00CE1624" w:rsidRPr="00BF1EC3" w:rsidRDefault="00CE1624" w:rsidP="00CE1624">
      <w:pPr>
        <w:spacing w:after="0"/>
        <w:jc w:val="center"/>
        <w:rPr>
          <w:rFonts w:ascii="Arial" w:hAnsi="Arial" w:cs="Arial"/>
          <w:b/>
          <w:sz w:val="28"/>
          <w:szCs w:val="28"/>
        </w:rPr>
      </w:pPr>
    </w:p>
    <w:p w:rsidR="0027431A" w:rsidRPr="00433831" w:rsidRDefault="000852FC" w:rsidP="00B5694C">
      <w:pPr>
        <w:jc w:val="center"/>
        <w:rPr>
          <w:rFonts w:ascii="Arial" w:hAnsi="Arial" w:cs="Arial"/>
          <w:b/>
          <w:sz w:val="28"/>
          <w:szCs w:val="28"/>
        </w:rPr>
      </w:pPr>
      <w:r>
        <w:rPr>
          <w:rFonts w:ascii="Arial" w:hAnsi="Arial" w:cs="Arial"/>
          <w:b/>
          <w:color w:val="000000" w:themeColor="text1"/>
          <w:sz w:val="28"/>
          <w:szCs w:val="28"/>
        </w:rPr>
        <w:t>Top five</w:t>
      </w:r>
      <w:r w:rsidR="00577B41" w:rsidRPr="00577B41">
        <w:rPr>
          <w:rFonts w:ascii="Arial" w:hAnsi="Arial" w:cs="Arial"/>
          <w:b/>
          <w:color w:val="000000" w:themeColor="text1"/>
          <w:sz w:val="28"/>
          <w:szCs w:val="28"/>
        </w:rPr>
        <w:t xml:space="preserve"> Fields of Study</w:t>
      </w:r>
      <w:r w:rsidR="00577B41" w:rsidRPr="00577B41">
        <w:rPr>
          <w:rFonts w:ascii="Arial" w:eastAsia="Times New Roman" w:hAnsi="Arial" w:cs="Arial"/>
          <w:b/>
          <w:color w:val="000000"/>
          <w:sz w:val="28"/>
          <w:szCs w:val="28"/>
          <w:lang w:eastAsia="en-AU"/>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B5694C" w:rsidRPr="00433831">
        <w:rPr>
          <w:rFonts w:ascii="Arial" w:eastAsia="Times New Roman" w:hAnsi="Arial" w:cs="Arial"/>
          <w:b/>
          <w:color w:val="000000"/>
          <w:sz w:val="28"/>
          <w:szCs w:val="28"/>
          <w:lang w:eastAsia="en-AU"/>
        </w:rPr>
        <w:t>(</w:t>
      </w:r>
      <w:r w:rsidR="00DE3C33" w:rsidRPr="00433831">
        <w:rPr>
          <w:rFonts w:ascii="Arial" w:eastAsia="Times New Roman" w:hAnsi="Arial" w:cs="Arial"/>
          <w:b/>
          <w:color w:val="000000"/>
          <w:sz w:val="28"/>
          <w:szCs w:val="28"/>
          <w:lang w:eastAsia="en-AU"/>
        </w:rPr>
        <w:t xml:space="preserve">all </w:t>
      </w:r>
      <w:r w:rsidR="00B5694C" w:rsidRPr="00433831">
        <w:rPr>
          <w:rFonts w:ascii="Arial" w:eastAsia="Times New Roman" w:hAnsi="Arial" w:cs="Arial"/>
          <w:b/>
          <w:color w:val="000000"/>
          <w:sz w:val="28"/>
          <w:szCs w:val="28"/>
          <w:lang w:eastAsia="en-AU"/>
        </w:rPr>
        <w:t xml:space="preserve">persons aged 15 years and </w:t>
      </w:r>
      <w:r w:rsidR="00577B41">
        <w:rPr>
          <w:rFonts w:ascii="Arial" w:eastAsia="Times New Roman" w:hAnsi="Arial" w:cs="Arial"/>
          <w:b/>
          <w:color w:val="000000"/>
          <w:sz w:val="28"/>
          <w:szCs w:val="28"/>
          <w:lang w:eastAsia="en-AU"/>
        </w:rPr>
        <w:t xml:space="preserve">over who </w:t>
      </w:r>
      <w:r w:rsidR="00577B41">
        <w:rPr>
          <w:rFonts w:ascii="Arial" w:hAnsi="Arial" w:cs="Arial"/>
          <w:b/>
          <w:color w:val="000000" w:themeColor="text1"/>
          <w:sz w:val="28"/>
          <w:szCs w:val="28"/>
        </w:rPr>
        <w:t>stated a completed qualification</w:t>
      </w:r>
      <w:r w:rsidR="00B5694C" w:rsidRPr="00433831">
        <w:rPr>
          <w:rFonts w:ascii="Arial" w:eastAsia="Times New Roman" w:hAnsi="Arial" w:cs="Arial"/>
          <w:b/>
          <w:color w:val="000000"/>
          <w:sz w:val="28"/>
          <w:szCs w:val="28"/>
          <w:lang w:eastAsia="en-AU"/>
        </w:rPr>
        <w:t>)</w:t>
      </w:r>
    </w:p>
    <w:tbl>
      <w:tblPr>
        <w:tblStyle w:val="TableGrid"/>
        <w:tblW w:w="10490" w:type="dxa"/>
        <w:tblInd w:w="-743" w:type="dxa"/>
        <w:tblLayout w:type="fixed"/>
        <w:tblLook w:val="04A0" w:firstRow="1" w:lastRow="0" w:firstColumn="1" w:lastColumn="0" w:noHBand="0" w:noVBand="1"/>
      </w:tblPr>
      <w:tblGrid>
        <w:gridCol w:w="2411"/>
        <w:gridCol w:w="1842"/>
        <w:gridCol w:w="945"/>
        <w:gridCol w:w="1181"/>
        <w:gridCol w:w="1843"/>
        <w:gridCol w:w="993"/>
        <w:gridCol w:w="1275"/>
      </w:tblGrid>
      <w:tr w:rsidR="0012464C" w:rsidRPr="008B58A5" w:rsidTr="00E640DC">
        <w:tc>
          <w:tcPr>
            <w:tcW w:w="2411" w:type="dxa"/>
            <w:tcBorders>
              <w:top w:val="nil"/>
              <w:left w:val="nil"/>
              <w:bottom w:val="nil"/>
            </w:tcBorders>
            <w:shd w:val="clear" w:color="auto" w:fill="FFFFFF" w:themeFill="background1"/>
          </w:tcPr>
          <w:p w:rsidR="0012464C" w:rsidRDefault="0012464C" w:rsidP="009A0023">
            <w:pPr>
              <w:rPr>
                <w:rFonts w:ascii="Arial" w:hAnsi="Arial" w:cs="Arial"/>
                <w:b/>
              </w:rPr>
            </w:pPr>
          </w:p>
        </w:tc>
        <w:tc>
          <w:tcPr>
            <w:tcW w:w="3968" w:type="dxa"/>
            <w:gridSpan w:val="3"/>
            <w:shd w:val="clear" w:color="auto" w:fill="548DD4" w:themeFill="text2" w:themeFillTint="99"/>
          </w:tcPr>
          <w:p w:rsidR="0012464C" w:rsidRPr="002E42CC" w:rsidRDefault="0012464C" w:rsidP="0012464C">
            <w:pPr>
              <w:jc w:val="center"/>
              <w:rPr>
                <w:rFonts w:ascii="Arial" w:hAnsi="Arial" w:cs="Arial"/>
                <w:b/>
              </w:rPr>
            </w:pPr>
            <w:r>
              <w:rPr>
                <w:rFonts w:ascii="Arial" w:hAnsi="Arial" w:cs="Arial"/>
                <w:b/>
              </w:rPr>
              <w:t>2011</w:t>
            </w:r>
          </w:p>
        </w:tc>
        <w:tc>
          <w:tcPr>
            <w:tcW w:w="4111" w:type="dxa"/>
            <w:gridSpan w:val="3"/>
            <w:shd w:val="clear" w:color="auto" w:fill="548DD4" w:themeFill="text2" w:themeFillTint="99"/>
          </w:tcPr>
          <w:p w:rsidR="0012464C" w:rsidRDefault="0012464C" w:rsidP="0012464C">
            <w:pPr>
              <w:jc w:val="center"/>
              <w:rPr>
                <w:rFonts w:ascii="Arial" w:hAnsi="Arial" w:cs="Arial"/>
                <w:b/>
              </w:rPr>
            </w:pPr>
            <w:r>
              <w:rPr>
                <w:rFonts w:ascii="Arial" w:hAnsi="Arial" w:cs="Arial"/>
                <w:b/>
              </w:rPr>
              <w:t>2006</w:t>
            </w:r>
          </w:p>
        </w:tc>
      </w:tr>
      <w:tr w:rsidR="0012464C" w:rsidRPr="008B58A5" w:rsidTr="004252C1">
        <w:tc>
          <w:tcPr>
            <w:tcW w:w="2411" w:type="dxa"/>
            <w:tcBorders>
              <w:top w:val="nil"/>
              <w:left w:val="nil"/>
            </w:tcBorders>
            <w:shd w:val="clear" w:color="auto" w:fill="FFFFFF" w:themeFill="background1"/>
          </w:tcPr>
          <w:p w:rsidR="0012464C" w:rsidRPr="002E42CC" w:rsidRDefault="0012464C" w:rsidP="009A0023">
            <w:pPr>
              <w:rPr>
                <w:rFonts w:ascii="Arial" w:hAnsi="Arial" w:cs="Arial"/>
                <w:b/>
              </w:rPr>
            </w:pPr>
          </w:p>
        </w:tc>
        <w:tc>
          <w:tcPr>
            <w:tcW w:w="1842" w:type="dxa"/>
            <w:shd w:val="clear" w:color="auto" w:fill="8DB3E2" w:themeFill="text2" w:themeFillTint="66"/>
            <w:vAlign w:val="center"/>
          </w:tcPr>
          <w:p w:rsidR="0012464C" w:rsidRPr="002E42CC" w:rsidRDefault="0012464C" w:rsidP="004252C1">
            <w:pPr>
              <w:jc w:val="right"/>
              <w:rPr>
                <w:rFonts w:ascii="Arial" w:hAnsi="Arial" w:cs="Arial"/>
                <w:b/>
              </w:rPr>
            </w:pPr>
            <w:r>
              <w:rPr>
                <w:rFonts w:ascii="Arial" w:hAnsi="Arial" w:cs="Arial"/>
                <w:b/>
              </w:rPr>
              <w:t xml:space="preserve">Total </w:t>
            </w:r>
          </w:p>
        </w:tc>
        <w:tc>
          <w:tcPr>
            <w:tcW w:w="945" w:type="dxa"/>
            <w:shd w:val="clear" w:color="auto" w:fill="8DB3E2" w:themeFill="text2" w:themeFillTint="66"/>
            <w:vAlign w:val="center"/>
          </w:tcPr>
          <w:p w:rsidR="0012464C" w:rsidRPr="002E42CC" w:rsidRDefault="0012464C" w:rsidP="004252C1">
            <w:pPr>
              <w:jc w:val="right"/>
              <w:rPr>
                <w:rFonts w:ascii="Arial" w:hAnsi="Arial" w:cs="Arial"/>
                <w:b/>
              </w:rPr>
            </w:pPr>
            <w:r w:rsidRPr="002E42CC">
              <w:rPr>
                <w:rFonts w:ascii="Arial" w:hAnsi="Arial" w:cs="Arial"/>
                <w:b/>
              </w:rPr>
              <w:t>Male</w:t>
            </w:r>
            <w:r>
              <w:rPr>
                <w:rFonts w:ascii="Arial" w:hAnsi="Arial" w:cs="Arial"/>
                <w:b/>
              </w:rPr>
              <w:t>s</w:t>
            </w:r>
          </w:p>
        </w:tc>
        <w:tc>
          <w:tcPr>
            <w:tcW w:w="1181" w:type="dxa"/>
            <w:shd w:val="clear" w:color="auto" w:fill="8DB3E2" w:themeFill="text2" w:themeFillTint="66"/>
            <w:vAlign w:val="center"/>
          </w:tcPr>
          <w:p w:rsidR="0012464C" w:rsidRPr="002E42CC" w:rsidRDefault="0012464C" w:rsidP="004252C1">
            <w:pPr>
              <w:jc w:val="right"/>
              <w:rPr>
                <w:rFonts w:ascii="Arial" w:hAnsi="Arial" w:cs="Arial"/>
                <w:b/>
              </w:rPr>
            </w:pPr>
            <w:r w:rsidRPr="002E42CC">
              <w:rPr>
                <w:rFonts w:ascii="Arial" w:hAnsi="Arial" w:cs="Arial"/>
                <w:b/>
              </w:rPr>
              <w:t>Female</w:t>
            </w:r>
            <w:r>
              <w:rPr>
                <w:rFonts w:ascii="Arial" w:hAnsi="Arial" w:cs="Arial"/>
                <w:b/>
              </w:rPr>
              <w:t>s</w:t>
            </w:r>
          </w:p>
        </w:tc>
        <w:tc>
          <w:tcPr>
            <w:tcW w:w="1843" w:type="dxa"/>
            <w:shd w:val="clear" w:color="auto" w:fill="8DB3E2" w:themeFill="text2" w:themeFillTint="66"/>
            <w:vAlign w:val="center"/>
          </w:tcPr>
          <w:p w:rsidR="0012464C" w:rsidRPr="002E42CC" w:rsidRDefault="0012464C" w:rsidP="004252C1">
            <w:pPr>
              <w:jc w:val="right"/>
              <w:rPr>
                <w:rFonts w:ascii="Arial" w:hAnsi="Arial" w:cs="Arial"/>
                <w:b/>
              </w:rPr>
            </w:pPr>
            <w:r>
              <w:rPr>
                <w:rFonts w:ascii="Arial" w:hAnsi="Arial" w:cs="Arial"/>
                <w:b/>
              </w:rPr>
              <w:t xml:space="preserve">Total </w:t>
            </w:r>
          </w:p>
        </w:tc>
        <w:tc>
          <w:tcPr>
            <w:tcW w:w="993" w:type="dxa"/>
            <w:shd w:val="clear" w:color="auto" w:fill="8DB3E2" w:themeFill="text2" w:themeFillTint="66"/>
            <w:vAlign w:val="center"/>
          </w:tcPr>
          <w:p w:rsidR="0012464C" w:rsidRPr="002E42CC" w:rsidRDefault="0012464C" w:rsidP="004252C1">
            <w:pPr>
              <w:jc w:val="right"/>
              <w:rPr>
                <w:rFonts w:ascii="Arial" w:hAnsi="Arial" w:cs="Arial"/>
                <w:b/>
              </w:rPr>
            </w:pPr>
            <w:r w:rsidRPr="002E42CC">
              <w:rPr>
                <w:rFonts w:ascii="Arial" w:hAnsi="Arial" w:cs="Arial"/>
                <w:b/>
              </w:rPr>
              <w:t>Male</w:t>
            </w:r>
            <w:r>
              <w:rPr>
                <w:rFonts w:ascii="Arial" w:hAnsi="Arial" w:cs="Arial"/>
                <w:b/>
              </w:rPr>
              <w:t>s</w:t>
            </w:r>
          </w:p>
        </w:tc>
        <w:tc>
          <w:tcPr>
            <w:tcW w:w="1275" w:type="dxa"/>
            <w:shd w:val="clear" w:color="auto" w:fill="8DB3E2" w:themeFill="text2" w:themeFillTint="66"/>
            <w:vAlign w:val="center"/>
          </w:tcPr>
          <w:p w:rsidR="0012464C" w:rsidRPr="002E42CC" w:rsidRDefault="0012464C" w:rsidP="004252C1">
            <w:pPr>
              <w:jc w:val="right"/>
              <w:rPr>
                <w:rFonts w:ascii="Arial" w:hAnsi="Arial" w:cs="Arial"/>
                <w:b/>
              </w:rPr>
            </w:pPr>
            <w:r w:rsidRPr="002E42CC">
              <w:rPr>
                <w:rFonts w:ascii="Arial" w:hAnsi="Arial" w:cs="Arial"/>
                <w:b/>
              </w:rPr>
              <w:t>Female</w:t>
            </w:r>
            <w:r>
              <w:rPr>
                <w:rFonts w:ascii="Arial" w:hAnsi="Arial" w:cs="Arial"/>
                <w:b/>
              </w:rPr>
              <w:t>s</w:t>
            </w:r>
          </w:p>
        </w:tc>
      </w:tr>
      <w:tr w:rsidR="002063A6" w:rsidRPr="008B58A5"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Engineering and Related Technologies</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189,627(18.6%)</w:t>
            </w:r>
          </w:p>
        </w:tc>
        <w:tc>
          <w:tcPr>
            <w:tcW w:w="94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94.1%</w:t>
            </w:r>
          </w:p>
        </w:tc>
        <w:tc>
          <w:tcPr>
            <w:tcW w:w="118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5.9%</w:t>
            </w:r>
          </w:p>
        </w:tc>
        <w:tc>
          <w:tcPr>
            <w:tcW w:w="184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152,071(18.3%)</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94.3%</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5.7%</w:t>
            </w:r>
          </w:p>
        </w:tc>
      </w:tr>
      <w:tr w:rsidR="002063A6" w:rsidRPr="008B58A5"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Management and Commerce</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163,809(16.1%)</w:t>
            </w:r>
          </w:p>
        </w:tc>
        <w:tc>
          <w:tcPr>
            <w:tcW w:w="94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38.9%</w:t>
            </w:r>
          </w:p>
        </w:tc>
        <w:tc>
          <w:tcPr>
            <w:tcW w:w="118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61.1%</w:t>
            </w:r>
          </w:p>
        </w:tc>
        <w:tc>
          <w:tcPr>
            <w:tcW w:w="184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123,249(14.8%)</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38.8%</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61.2%</w:t>
            </w:r>
          </w:p>
        </w:tc>
      </w:tr>
      <w:tr w:rsidR="002063A6" w:rsidRPr="008B58A5"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Society and Culture</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91,832(9.0%)</w:t>
            </w:r>
          </w:p>
        </w:tc>
        <w:tc>
          <w:tcPr>
            <w:tcW w:w="94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30.9%</w:t>
            </w:r>
          </w:p>
        </w:tc>
        <w:tc>
          <w:tcPr>
            <w:tcW w:w="118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69.1%</w:t>
            </w:r>
          </w:p>
        </w:tc>
        <w:tc>
          <w:tcPr>
            <w:tcW w:w="1843" w:type="dxa"/>
            <w:shd w:val="clear" w:color="auto" w:fill="C6D9F1" w:themeFill="text2" w:themeFillTint="33"/>
          </w:tcPr>
          <w:p w:rsidR="002063A6" w:rsidRPr="004252C1" w:rsidRDefault="002063A6" w:rsidP="00177BBE">
            <w:pPr>
              <w:jc w:val="right"/>
              <w:rPr>
                <w:rFonts w:ascii="Arial" w:hAnsi="Arial" w:cs="Arial"/>
                <w:sz w:val="18"/>
                <w:szCs w:val="18"/>
              </w:rPr>
            </w:pPr>
            <w:r w:rsidRPr="004252C1">
              <w:rPr>
                <w:rFonts w:ascii="Arial" w:hAnsi="Arial" w:cs="Arial"/>
                <w:sz w:val="18"/>
                <w:szCs w:val="18"/>
              </w:rPr>
              <w:t>68,028(8.2%)</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32.5%</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67.5%</w:t>
            </w:r>
          </w:p>
        </w:tc>
      </w:tr>
      <w:tr w:rsidR="002063A6" w:rsidRPr="008B58A5"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Health</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91,391(9.0%)</w:t>
            </w:r>
          </w:p>
        </w:tc>
        <w:tc>
          <w:tcPr>
            <w:tcW w:w="94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21.9%</w:t>
            </w:r>
          </w:p>
        </w:tc>
        <w:tc>
          <w:tcPr>
            <w:tcW w:w="118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78.1%</w:t>
            </w:r>
          </w:p>
        </w:tc>
        <w:tc>
          <w:tcPr>
            <w:tcW w:w="1843" w:type="dxa"/>
            <w:shd w:val="clear" w:color="auto" w:fill="C6D9F1" w:themeFill="text2" w:themeFillTint="33"/>
          </w:tcPr>
          <w:p w:rsidR="002063A6" w:rsidRPr="004252C1" w:rsidRDefault="002063A6" w:rsidP="00177BBE">
            <w:pPr>
              <w:jc w:val="right"/>
              <w:rPr>
                <w:rFonts w:ascii="Arial" w:hAnsi="Arial" w:cs="Arial"/>
                <w:sz w:val="18"/>
                <w:szCs w:val="18"/>
              </w:rPr>
            </w:pPr>
            <w:r w:rsidRPr="004252C1">
              <w:rPr>
                <w:rFonts w:ascii="Arial" w:hAnsi="Arial" w:cs="Arial"/>
                <w:sz w:val="18"/>
                <w:szCs w:val="18"/>
              </w:rPr>
              <w:t>70,690(8.5%)</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20.8%</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79.2%</w:t>
            </w:r>
          </w:p>
        </w:tc>
      </w:tr>
      <w:tr w:rsidR="002063A6" w:rsidRPr="008B58A5" w:rsidTr="004252C1">
        <w:tc>
          <w:tcPr>
            <w:tcW w:w="2411"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Education</w:t>
            </w:r>
          </w:p>
        </w:tc>
        <w:tc>
          <w:tcPr>
            <w:tcW w:w="1842"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76,868(7.5%)</w:t>
            </w:r>
          </w:p>
        </w:tc>
        <w:tc>
          <w:tcPr>
            <w:tcW w:w="94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21.7%</w:t>
            </w:r>
          </w:p>
        </w:tc>
        <w:tc>
          <w:tcPr>
            <w:tcW w:w="118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78.3%</w:t>
            </w:r>
          </w:p>
        </w:tc>
        <w:tc>
          <w:tcPr>
            <w:tcW w:w="1843" w:type="dxa"/>
            <w:shd w:val="clear" w:color="auto" w:fill="C6D9F1" w:themeFill="text2" w:themeFillTint="33"/>
          </w:tcPr>
          <w:p w:rsidR="002063A6" w:rsidRPr="004252C1" w:rsidRDefault="002063A6" w:rsidP="00177BBE">
            <w:pPr>
              <w:jc w:val="right"/>
              <w:rPr>
                <w:rFonts w:ascii="Arial" w:hAnsi="Arial" w:cs="Arial"/>
                <w:sz w:val="18"/>
                <w:szCs w:val="18"/>
              </w:rPr>
            </w:pPr>
            <w:r w:rsidRPr="004252C1">
              <w:rPr>
                <w:rFonts w:ascii="Arial" w:hAnsi="Arial" w:cs="Arial"/>
                <w:sz w:val="18"/>
                <w:szCs w:val="18"/>
              </w:rPr>
              <w:t>62,699(7.5%)</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23.6%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76.4%</w:t>
            </w:r>
          </w:p>
        </w:tc>
      </w:tr>
      <w:tr w:rsidR="002063A6" w:rsidRPr="008B58A5" w:rsidTr="004252C1">
        <w:tc>
          <w:tcPr>
            <w:tcW w:w="2411" w:type="dxa"/>
            <w:shd w:val="clear" w:color="auto" w:fill="8DB3E2" w:themeFill="text2" w:themeFillTint="66"/>
            <w:vAlign w:val="bottom"/>
          </w:tcPr>
          <w:p w:rsidR="002063A6" w:rsidRPr="004252C1" w:rsidRDefault="002063A6" w:rsidP="004252C1">
            <w:pPr>
              <w:rPr>
                <w:rFonts w:ascii="Arial" w:hAnsi="Arial" w:cs="Arial"/>
                <w:color w:val="000000"/>
                <w:sz w:val="18"/>
                <w:szCs w:val="18"/>
              </w:rPr>
            </w:pPr>
            <w:r w:rsidRPr="004252C1">
              <w:rPr>
                <w:rFonts w:ascii="Arial" w:hAnsi="Arial" w:cs="Arial"/>
                <w:color w:val="000000"/>
                <w:sz w:val="18"/>
                <w:szCs w:val="18"/>
              </w:rPr>
              <w:t>Total persons</w:t>
            </w:r>
          </w:p>
        </w:tc>
        <w:tc>
          <w:tcPr>
            <w:tcW w:w="1842" w:type="dxa"/>
            <w:shd w:val="clear" w:color="auto" w:fill="C6D9F1" w:themeFill="text2" w:themeFillTint="33"/>
            <w:vAlign w:val="center"/>
          </w:tcPr>
          <w:p w:rsidR="002063A6" w:rsidRPr="004252C1" w:rsidRDefault="002063A6" w:rsidP="00177BBE">
            <w:pPr>
              <w:jc w:val="right"/>
              <w:rPr>
                <w:rFonts w:ascii="Arial" w:hAnsi="Arial" w:cs="Arial"/>
                <w:sz w:val="18"/>
                <w:szCs w:val="18"/>
              </w:rPr>
            </w:pPr>
            <w:r w:rsidRPr="004252C1">
              <w:rPr>
                <w:rFonts w:ascii="Arial" w:hAnsi="Arial" w:cs="Arial"/>
                <w:sz w:val="18"/>
                <w:szCs w:val="18"/>
              </w:rPr>
              <w:t>1,020,181(100.0%)</w:t>
            </w:r>
          </w:p>
        </w:tc>
        <w:tc>
          <w:tcPr>
            <w:tcW w:w="94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53.5%</w:t>
            </w:r>
          </w:p>
        </w:tc>
        <w:tc>
          <w:tcPr>
            <w:tcW w:w="1181"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46.5%</w:t>
            </w:r>
          </w:p>
        </w:tc>
        <w:tc>
          <w:tcPr>
            <w:tcW w:w="1843" w:type="dxa"/>
            <w:shd w:val="clear" w:color="auto" w:fill="C6D9F1" w:themeFill="text2" w:themeFillTint="33"/>
          </w:tcPr>
          <w:p w:rsidR="002063A6" w:rsidRPr="004252C1" w:rsidRDefault="002063A6" w:rsidP="00177BBE">
            <w:pPr>
              <w:jc w:val="right"/>
              <w:rPr>
                <w:rFonts w:ascii="Arial" w:hAnsi="Arial" w:cs="Arial"/>
                <w:sz w:val="18"/>
                <w:szCs w:val="18"/>
              </w:rPr>
            </w:pPr>
            <w:r w:rsidRPr="004252C1">
              <w:rPr>
                <w:rFonts w:ascii="Arial" w:hAnsi="Arial" w:cs="Arial"/>
                <w:sz w:val="18"/>
                <w:szCs w:val="18"/>
              </w:rPr>
              <w:t>831,622(100.0%)</w:t>
            </w:r>
          </w:p>
        </w:tc>
        <w:tc>
          <w:tcPr>
            <w:tcW w:w="993"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53.6%</w:t>
            </w:r>
          </w:p>
        </w:tc>
        <w:tc>
          <w:tcPr>
            <w:tcW w:w="1275" w:type="dxa"/>
            <w:shd w:val="clear" w:color="auto" w:fill="C6D9F1" w:themeFill="text2" w:themeFillTint="33"/>
            <w:vAlign w:val="bottom"/>
          </w:tcPr>
          <w:p w:rsidR="002063A6" w:rsidRPr="004252C1" w:rsidRDefault="002063A6" w:rsidP="00177BBE">
            <w:pPr>
              <w:jc w:val="right"/>
              <w:rPr>
                <w:rFonts w:ascii="Arial" w:hAnsi="Arial" w:cs="Arial"/>
                <w:sz w:val="18"/>
                <w:szCs w:val="18"/>
              </w:rPr>
            </w:pPr>
            <w:r w:rsidRPr="004252C1">
              <w:rPr>
                <w:rFonts w:ascii="Arial" w:hAnsi="Arial" w:cs="Arial"/>
                <w:sz w:val="18"/>
                <w:szCs w:val="18"/>
              </w:rPr>
              <w:t>46.4%</w:t>
            </w:r>
          </w:p>
        </w:tc>
      </w:tr>
    </w:tbl>
    <w:p w:rsidR="00233455" w:rsidRDefault="00233455"/>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In 2011, Engineering and Related Technologies (18.6%) and Management and Commerce (16.1%) were the two most common fields of study completed reported by persons aged 15 years and over</w:t>
      </w:r>
      <w:r w:rsidR="000852FC" w:rsidRPr="009F4D8B">
        <w:rPr>
          <w:rFonts w:ascii="Arial" w:hAnsi="Arial" w:cs="Arial"/>
          <w:b/>
          <w:bCs/>
          <w:color w:val="548DD4" w:themeColor="text2" w:themeTint="99"/>
          <w:sz w:val="18"/>
          <w:szCs w:val="18"/>
        </w:rPr>
        <w:t xml:space="preserve"> in Western Australia</w:t>
      </w:r>
      <w:r w:rsidRPr="009F4D8B">
        <w:rPr>
          <w:rFonts w:ascii="Arial" w:hAnsi="Arial" w:cs="Arial"/>
          <w:b/>
          <w:bCs/>
          <w:color w:val="548DD4" w:themeColor="text2" w:themeTint="99"/>
          <w:sz w:val="18"/>
          <w:szCs w:val="18"/>
        </w:rPr>
        <w:t xml:space="preserve">. These fields were </w:t>
      </w:r>
      <w:r w:rsidR="000852FC" w:rsidRPr="009F4D8B">
        <w:rPr>
          <w:rFonts w:ascii="Arial" w:hAnsi="Arial" w:cs="Arial"/>
          <w:b/>
          <w:bCs/>
          <w:color w:val="548DD4" w:themeColor="text2" w:themeTint="99"/>
          <w:sz w:val="18"/>
          <w:szCs w:val="18"/>
        </w:rPr>
        <w:t xml:space="preserve">also </w:t>
      </w:r>
      <w:r w:rsidRPr="009F4D8B">
        <w:rPr>
          <w:rFonts w:ascii="Arial" w:hAnsi="Arial" w:cs="Arial"/>
          <w:b/>
          <w:bCs/>
          <w:color w:val="548DD4" w:themeColor="text2" w:themeTint="99"/>
          <w:sz w:val="18"/>
          <w:szCs w:val="18"/>
        </w:rPr>
        <w:t>reported as the most common fields of study in the 2006</w:t>
      </w:r>
      <w:r w:rsidR="005A68DC" w:rsidRPr="009F4D8B">
        <w:rPr>
          <w:rFonts w:ascii="Arial" w:hAnsi="Arial" w:cs="Arial"/>
          <w:b/>
          <w:bCs/>
          <w:color w:val="548DD4" w:themeColor="text2" w:themeTint="99"/>
          <w:sz w:val="18"/>
          <w:szCs w:val="18"/>
        </w:rPr>
        <w:t xml:space="preserve"> </w:t>
      </w:r>
      <w:r w:rsidRPr="009F4D8B">
        <w:rPr>
          <w:rFonts w:ascii="Arial" w:hAnsi="Arial" w:cs="Arial"/>
          <w:b/>
          <w:bCs/>
          <w:color w:val="548DD4" w:themeColor="text2" w:themeTint="99"/>
          <w:sz w:val="18"/>
          <w:szCs w:val="18"/>
        </w:rPr>
        <w:t>Census.</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Between the 20</w:t>
      </w:r>
      <w:r w:rsidR="000852FC" w:rsidRPr="009F4D8B">
        <w:rPr>
          <w:rFonts w:ascii="Arial" w:hAnsi="Arial" w:cs="Arial"/>
          <w:b/>
          <w:bCs/>
          <w:color w:val="548DD4" w:themeColor="text2" w:themeTint="99"/>
          <w:sz w:val="18"/>
          <w:szCs w:val="18"/>
        </w:rPr>
        <w:t>06</w:t>
      </w:r>
      <w:r w:rsidRPr="009F4D8B">
        <w:rPr>
          <w:rFonts w:ascii="Arial" w:hAnsi="Arial" w:cs="Arial"/>
          <w:b/>
          <w:bCs/>
          <w:color w:val="548DD4" w:themeColor="text2" w:themeTint="99"/>
          <w:sz w:val="18"/>
          <w:szCs w:val="18"/>
        </w:rPr>
        <w:t xml:space="preserve"> and 20</w:t>
      </w:r>
      <w:r w:rsidR="000852FC" w:rsidRPr="009F4D8B">
        <w:rPr>
          <w:rFonts w:ascii="Arial" w:hAnsi="Arial" w:cs="Arial"/>
          <w:b/>
          <w:bCs/>
          <w:color w:val="548DD4" w:themeColor="text2" w:themeTint="99"/>
          <w:sz w:val="18"/>
          <w:szCs w:val="18"/>
        </w:rPr>
        <w:t>11</w:t>
      </w:r>
      <w:r w:rsidRPr="009F4D8B">
        <w:rPr>
          <w:rFonts w:ascii="Arial" w:hAnsi="Arial" w:cs="Arial"/>
          <w:b/>
          <w:bCs/>
          <w:color w:val="548DD4" w:themeColor="text2" w:themeTint="99"/>
          <w:sz w:val="18"/>
          <w:szCs w:val="18"/>
        </w:rPr>
        <w:t xml:space="preserve"> Census</w:t>
      </w:r>
      <w:r w:rsidR="000852FC" w:rsidRPr="009F4D8B">
        <w:rPr>
          <w:rFonts w:ascii="Arial" w:hAnsi="Arial" w:cs="Arial"/>
          <w:b/>
          <w:bCs/>
          <w:color w:val="548DD4" w:themeColor="text2" w:themeTint="99"/>
          <w:sz w:val="18"/>
          <w:szCs w:val="18"/>
        </w:rPr>
        <w:t>es</w:t>
      </w:r>
      <w:r w:rsidRPr="009F4D8B">
        <w:rPr>
          <w:rFonts w:ascii="Arial" w:hAnsi="Arial" w:cs="Arial"/>
          <w:b/>
          <w:bCs/>
          <w:color w:val="548DD4" w:themeColor="text2" w:themeTint="99"/>
          <w:sz w:val="18"/>
          <w:szCs w:val="18"/>
        </w:rPr>
        <w:t xml:space="preserve"> there has been an increase in the number of </w:t>
      </w:r>
      <w:r w:rsidR="000852FC" w:rsidRPr="009F4D8B">
        <w:rPr>
          <w:rFonts w:ascii="Arial" w:hAnsi="Arial" w:cs="Arial"/>
          <w:b/>
          <w:bCs/>
          <w:color w:val="548DD4" w:themeColor="text2" w:themeTint="99"/>
          <w:sz w:val="18"/>
          <w:szCs w:val="18"/>
        </w:rPr>
        <w:t>persons</w:t>
      </w:r>
      <w:r w:rsidRPr="009F4D8B">
        <w:rPr>
          <w:rFonts w:ascii="Arial" w:hAnsi="Arial" w:cs="Arial"/>
          <w:b/>
          <w:bCs/>
          <w:color w:val="548DD4" w:themeColor="text2" w:themeTint="99"/>
          <w:sz w:val="18"/>
          <w:szCs w:val="18"/>
        </w:rPr>
        <w:t xml:space="preserve"> who reported Engineering and Related Technologies (from 152,071 in 2006 to 189,627 in 2011) and Management and Commerce (from 123,249 in 2006 to 163,809 in 2011) as their field of study.</w:t>
      </w:r>
    </w:p>
    <w:p w:rsidR="002063A6" w:rsidRPr="009F4D8B" w:rsidRDefault="002063A6" w:rsidP="002063A6">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Of those who reported Management and Commerce as their field of study</w:t>
      </w:r>
      <w:r w:rsidR="000852FC" w:rsidRPr="009F4D8B">
        <w:rPr>
          <w:rFonts w:ascii="Arial" w:hAnsi="Arial" w:cs="Arial"/>
          <w:b/>
          <w:bCs/>
          <w:color w:val="548DD4" w:themeColor="text2" w:themeTint="99"/>
          <w:sz w:val="18"/>
          <w:szCs w:val="18"/>
        </w:rPr>
        <w:t>,</w:t>
      </w:r>
      <w:r w:rsidRPr="009F4D8B">
        <w:rPr>
          <w:rFonts w:ascii="Arial" w:hAnsi="Arial" w:cs="Arial"/>
          <w:b/>
          <w:bCs/>
          <w:color w:val="548DD4" w:themeColor="text2" w:themeTint="99"/>
          <w:sz w:val="18"/>
          <w:szCs w:val="18"/>
        </w:rPr>
        <w:t xml:space="preserve"> </w:t>
      </w:r>
      <w:proofErr w:type="gramStart"/>
      <w:r w:rsidRPr="009F4D8B">
        <w:rPr>
          <w:rFonts w:ascii="Arial" w:hAnsi="Arial" w:cs="Arial"/>
          <w:b/>
          <w:bCs/>
          <w:color w:val="548DD4" w:themeColor="text2" w:themeTint="99"/>
          <w:sz w:val="18"/>
          <w:szCs w:val="18"/>
        </w:rPr>
        <w:t xml:space="preserve">a higher proportion </w:t>
      </w:r>
      <w:r w:rsidR="000852FC" w:rsidRPr="009F4D8B">
        <w:rPr>
          <w:rFonts w:ascii="Arial" w:hAnsi="Arial" w:cs="Arial"/>
          <w:b/>
          <w:bCs/>
          <w:color w:val="548DD4" w:themeColor="text2" w:themeTint="99"/>
          <w:sz w:val="18"/>
          <w:szCs w:val="18"/>
        </w:rPr>
        <w:t>were</w:t>
      </w:r>
      <w:proofErr w:type="gramEnd"/>
      <w:r w:rsidRPr="009F4D8B">
        <w:rPr>
          <w:rFonts w:ascii="Arial" w:hAnsi="Arial" w:cs="Arial"/>
          <w:b/>
          <w:bCs/>
          <w:color w:val="548DD4" w:themeColor="text2" w:themeTint="99"/>
          <w:sz w:val="18"/>
          <w:szCs w:val="18"/>
        </w:rPr>
        <w:t xml:space="preserve"> females (61.1%). Of those who reported Engineering and Related Technologies as their field of study a significantly higher proportion </w:t>
      </w:r>
      <w:r w:rsidR="000852FC" w:rsidRPr="009F4D8B">
        <w:rPr>
          <w:rFonts w:ascii="Arial" w:hAnsi="Arial" w:cs="Arial"/>
          <w:b/>
          <w:bCs/>
          <w:color w:val="548DD4" w:themeColor="text2" w:themeTint="99"/>
          <w:sz w:val="18"/>
          <w:szCs w:val="18"/>
        </w:rPr>
        <w:t>were</w:t>
      </w:r>
      <w:r w:rsidRPr="009F4D8B">
        <w:rPr>
          <w:rFonts w:ascii="Arial" w:hAnsi="Arial" w:cs="Arial"/>
          <w:b/>
          <w:bCs/>
          <w:color w:val="548DD4" w:themeColor="text2" w:themeTint="99"/>
          <w:sz w:val="18"/>
          <w:szCs w:val="18"/>
        </w:rPr>
        <w:t xml:space="preserve"> males (94.1%).</w:t>
      </w:r>
    </w:p>
    <w:p w:rsidR="009F4D8B" w:rsidRPr="009F4D8B" w:rsidRDefault="002063A6" w:rsidP="000852FC">
      <w:pPr>
        <w:pStyle w:val="ListParagraph"/>
        <w:numPr>
          <w:ilvl w:val="0"/>
          <w:numId w:val="5"/>
        </w:numPr>
        <w:rPr>
          <w:rFonts w:ascii="Arial" w:hAnsi="Arial" w:cs="Arial"/>
          <w:b/>
          <w:color w:val="548DD4" w:themeColor="text2" w:themeTint="99"/>
        </w:rPr>
      </w:pPr>
      <w:r w:rsidRPr="009F4D8B">
        <w:rPr>
          <w:rFonts w:ascii="Arial" w:hAnsi="Arial" w:cs="Arial"/>
          <w:b/>
          <w:bCs/>
          <w:color w:val="548DD4" w:themeColor="text2" w:themeTint="99"/>
          <w:sz w:val="18"/>
          <w:szCs w:val="18"/>
        </w:rPr>
        <w:t>More than three quarters of those who reported Health and Education as</w:t>
      </w:r>
      <w:r w:rsidR="000852FC" w:rsidRPr="009F4D8B">
        <w:rPr>
          <w:rFonts w:ascii="Arial" w:hAnsi="Arial" w:cs="Arial"/>
          <w:b/>
          <w:bCs/>
          <w:color w:val="548DD4" w:themeColor="text2" w:themeTint="99"/>
          <w:sz w:val="18"/>
          <w:szCs w:val="18"/>
        </w:rPr>
        <w:t xml:space="preserve"> their</w:t>
      </w:r>
      <w:r w:rsidRPr="009F4D8B">
        <w:rPr>
          <w:rFonts w:ascii="Arial" w:hAnsi="Arial" w:cs="Arial"/>
          <w:b/>
          <w:bCs/>
          <w:color w:val="548DD4" w:themeColor="text2" w:themeTint="99"/>
          <w:sz w:val="18"/>
          <w:szCs w:val="18"/>
        </w:rPr>
        <w:t xml:space="preserve"> fields of study were females (78.1% and 78.3% respectively). </w:t>
      </w:r>
    </w:p>
    <w:p w:rsidR="00E640DC" w:rsidRPr="009F4D8B" w:rsidRDefault="00E640DC" w:rsidP="009F4D8B">
      <w:pPr>
        <w:rPr>
          <w:rFonts w:ascii="Arial" w:hAnsi="Arial" w:cs="Arial"/>
          <w:b/>
          <w:color w:val="548DD4" w:themeColor="text2" w:themeTint="99"/>
        </w:rPr>
      </w:pPr>
      <w:r w:rsidRPr="009F4D8B">
        <w:rPr>
          <w:rFonts w:ascii="Arial" w:hAnsi="Arial" w:cs="Arial"/>
          <w:b/>
          <w:color w:val="548DD4" w:themeColor="text2" w:themeTint="99"/>
        </w:rPr>
        <w:br w:type="page"/>
      </w: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E640DC" w:rsidP="00E640DC">
      <w:pPr>
        <w:spacing w:after="0"/>
        <w:jc w:val="center"/>
        <w:rPr>
          <w:rFonts w:ascii="Arial" w:hAnsi="Arial" w:cs="Arial"/>
          <w:b/>
          <w:sz w:val="28"/>
          <w:szCs w:val="28"/>
        </w:rPr>
      </w:pPr>
    </w:p>
    <w:p w:rsidR="00E640DC" w:rsidRDefault="002063A6" w:rsidP="00E640DC">
      <w:pPr>
        <w:spacing w:after="0"/>
        <w:jc w:val="center"/>
        <w:rPr>
          <w:rFonts w:ascii="Arial" w:hAnsi="Arial" w:cs="Arial"/>
          <w:b/>
          <w:sz w:val="32"/>
          <w:szCs w:val="32"/>
        </w:rPr>
      </w:pPr>
      <w:r>
        <w:rPr>
          <w:rFonts w:ascii="Arial" w:hAnsi="Arial" w:cs="Arial"/>
          <w:b/>
          <w:sz w:val="32"/>
          <w:szCs w:val="32"/>
        </w:rPr>
        <w:t xml:space="preserve">Western </w:t>
      </w:r>
      <w:r w:rsidR="00E640DC" w:rsidRPr="00BF1EC3">
        <w:rPr>
          <w:rFonts w:ascii="Arial" w:hAnsi="Arial" w:cs="Arial"/>
          <w:b/>
          <w:sz w:val="32"/>
          <w:szCs w:val="32"/>
        </w:rPr>
        <w:t>Australia</w:t>
      </w:r>
    </w:p>
    <w:p w:rsidR="00E640DC" w:rsidRPr="00BF1EC3" w:rsidRDefault="00E640DC" w:rsidP="00E640DC">
      <w:pPr>
        <w:spacing w:after="0"/>
        <w:jc w:val="center"/>
        <w:rPr>
          <w:rFonts w:ascii="Arial" w:hAnsi="Arial" w:cs="Arial"/>
          <w:b/>
          <w:sz w:val="28"/>
          <w:szCs w:val="28"/>
        </w:rPr>
      </w:pPr>
    </w:p>
    <w:p w:rsidR="002F75D9" w:rsidRPr="00577B41" w:rsidRDefault="00726F2A" w:rsidP="00577B41">
      <w:pPr>
        <w:jc w:val="center"/>
        <w:rPr>
          <w:rFonts w:ascii="Arial" w:hAnsi="Arial" w:cs="Arial"/>
          <w:b/>
          <w:sz w:val="28"/>
          <w:szCs w:val="28"/>
        </w:rPr>
      </w:pPr>
      <w:r w:rsidRPr="00577B41">
        <w:rPr>
          <w:rFonts w:ascii="Arial" w:hAnsi="Arial" w:cs="Arial"/>
          <w:b/>
          <w:color w:val="000000" w:themeColor="text1"/>
          <w:sz w:val="28"/>
          <w:szCs w:val="28"/>
        </w:rPr>
        <w:t>T</w:t>
      </w:r>
      <w:r w:rsidR="002F75D9" w:rsidRPr="00577B41">
        <w:rPr>
          <w:rFonts w:ascii="Arial" w:hAnsi="Arial" w:cs="Arial"/>
          <w:b/>
          <w:color w:val="000000" w:themeColor="text1"/>
          <w:sz w:val="28"/>
          <w:szCs w:val="28"/>
        </w:rPr>
        <w:t xml:space="preserve">op </w:t>
      </w:r>
      <w:r w:rsidR="000852FC">
        <w:rPr>
          <w:rFonts w:ascii="Arial" w:hAnsi="Arial" w:cs="Arial"/>
          <w:b/>
          <w:color w:val="000000" w:themeColor="text1"/>
          <w:sz w:val="28"/>
          <w:szCs w:val="28"/>
        </w:rPr>
        <w:t>five</w:t>
      </w:r>
      <w:r w:rsidR="00577B41">
        <w:rPr>
          <w:rFonts w:ascii="Arial" w:hAnsi="Arial" w:cs="Arial"/>
          <w:b/>
          <w:color w:val="000000" w:themeColor="text1"/>
          <w:sz w:val="28"/>
          <w:szCs w:val="28"/>
        </w:rPr>
        <w:t xml:space="preserve"> M</w:t>
      </w:r>
      <w:r w:rsidR="000852FC">
        <w:rPr>
          <w:rFonts w:ascii="Arial" w:hAnsi="Arial" w:cs="Arial"/>
          <w:b/>
          <w:color w:val="000000" w:themeColor="text1"/>
          <w:sz w:val="28"/>
          <w:szCs w:val="28"/>
        </w:rPr>
        <w:t>ethods of T</w:t>
      </w:r>
      <w:r w:rsidR="002F75D9" w:rsidRPr="00577B41">
        <w:rPr>
          <w:rFonts w:ascii="Arial" w:hAnsi="Arial" w:cs="Arial"/>
          <w:b/>
          <w:color w:val="000000" w:themeColor="text1"/>
          <w:sz w:val="28"/>
          <w:szCs w:val="28"/>
        </w:rPr>
        <w:t xml:space="preserve">ravel to </w:t>
      </w:r>
      <w:r w:rsidR="000852FC">
        <w:rPr>
          <w:rFonts w:ascii="Arial" w:hAnsi="Arial" w:cs="Arial"/>
          <w:b/>
          <w:color w:val="000000" w:themeColor="text1"/>
          <w:sz w:val="28"/>
          <w:szCs w:val="28"/>
        </w:rPr>
        <w:t>W</w:t>
      </w:r>
      <w:r w:rsidR="002F75D9" w:rsidRPr="00577B41">
        <w:rPr>
          <w:rFonts w:ascii="Arial" w:hAnsi="Arial" w:cs="Arial"/>
          <w:b/>
          <w:color w:val="000000" w:themeColor="text1"/>
          <w:sz w:val="28"/>
          <w:szCs w:val="28"/>
        </w:rPr>
        <w:t>ork</w:t>
      </w:r>
      <w:r w:rsidR="00DE3C33" w:rsidRPr="00577B41">
        <w:rPr>
          <w:rFonts w:ascii="Arial" w:hAnsi="Arial" w:cs="Arial"/>
          <w:b/>
          <w:color w:val="000000" w:themeColor="text1"/>
          <w:sz w:val="28"/>
          <w:szCs w:val="28"/>
        </w:rPr>
        <w:t xml:space="preserve"> </w:t>
      </w:r>
      <w:r w:rsidR="00577B41" w:rsidRPr="00577B41">
        <w:rPr>
          <w:rFonts w:ascii="Arial" w:hAnsi="Arial" w:cs="Arial"/>
          <w:b/>
          <w:color w:val="000000" w:themeColor="text1"/>
          <w:sz w:val="28"/>
          <w:szCs w:val="28"/>
        </w:rPr>
        <w:t>in 2011</w:t>
      </w:r>
      <w:r w:rsidR="00577B41" w:rsidRPr="00433831">
        <w:rPr>
          <w:rFonts w:ascii="Arial" w:eastAsia="Times New Roman" w:hAnsi="Arial" w:cs="Arial"/>
          <w:b/>
          <w:color w:val="000000"/>
          <w:sz w:val="28"/>
          <w:szCs w:val="28"/>
          <w:lang w:eastAsia="en-AU"/>
        </w:rPr>
        <w:t xml:space="preserve"> </w:t>
      </w:r>
      <w:r w:rsidR="00DE3C33" w:rsidRPr="00577B41">
        <w:rPr>
          <w:rFonts w:ascii="Arial" w:eastAsia="Times New Roman" w:hAnsi="Arial" w:cs="Arial"/>
          <w:b/>
          <w:color w:val="000000"/>
          <w:sz w:val="28"/>
          <w:szCs w:val="28"/>
          <w:lang w:eastAsia="en-AU"/>
        </w:rPr>
        <w:t>(employed persons aged 15 years and over)</w:t>
      </w:r>
    </w:p>
    <w:tbl>
      <w:tblPr>
        <w:tblStyle w:val="TableGrid"/>
        <w:tblW w:w="8788" w:type="dxa"/>
        <w:tblInd w:w="392" w:type="dxa"/>
        <w:tblLayout w:type="fixed"/>
        <w:tblLook w:val="04A0" w:firstRow="1" w:lastRow="0" w:firstColumn="1" w:lastColumn="0" w:noHBand="0" w:noVBand="1"/>
      </w:tblPr>
      <w:tblGrid>
        <w:gridCol w:w="2693"/>
        <w:gridCol w:w="3260"/>
        <w:gridCol w:w="2835"/>
      </w:tblGrid>
      <w:tr w:rsidR="002A47EB" w:rsidRPr="008B58A5" w:rsidTr="004252C1">
        <w:tc>
          <w:tcPr>
            <w:tcW w:w="2693" w:type="dxa"/>
            <w:tcBorders>
              <w:top w:val="nil"/>
              <w:left w:val="nil"/>
              <w:bottom w:val="nil"/>
            </w:tcBorders>
            <w:shd w:val="clear" w:color="auto" w:fill="FFFFFF" w:themeFill="background1"/>
          </w:tcPr>
          <w:p w:rsidR="002A47EB" w:rsidRPr="00DE547A" w:rsidRDefault="002A47EB" w:rsidP="00DE547A">
            <w:pPr>
              <w:rPr>
                <w:rFonts w:ascii="Arial" w:hAnsi="Arial" w:cs="Arial"/>
                <w:b/>
              </w:rPr>
            </w:pPr>
          </w:p>
        </w:tc>
        <w:tc>
          <w:tcPr>
            <w:tcW w:w="3260" w:type="dxa"/>
            <w:shd w:val="clear" w:color="auto" w:fill="548DD4" w:themeFill="text2" w:themeFillTint="99"/>
          </w:tcPr>
          <w:p w:rsidR="002A47EB" w:rsidRPr="002E42CC" w:rsidRDefault="002A47EB" w:rsidP="00D0532D">
            <w:pPr>
              <w:jc w:val="center"/>
              <w:rPr>
                <w:rFonts w:ascii="Arial" w:hAnsi="Arial" w:cs="Arial"/>
                <w:b/>
              </w:rPr>
            </w:pPr>
            <w:r>
              <w:rPr>
                <w:rFonts w:ascii="Arial" w:hAnsi="Arial" w:cs="Arial"/>
                <w:b/>
              </w:rPr>
              <w:t>2011</w:t>
            </w:r>
          </w:p>
        </w:tc>
        <w:tc>
          <w:tcPr>
            <w:tcW w:w="2835" w:type="dxa"/>
            <w:shd w:val="clear" w:color="auto" w:fill="548DD4" w:themeFill="text2" w:themeFillTint="99"/>
          </w:tcPr>
          <w:p w:rsidR="002A47EB" w:rsidRPr="002E42CC" w:rsidRDefault="002A47EB" w:rsidP="0012464C">
            <w:pPr>
              <w:jc w:val="center"/>
              <w:rPr>
                <w:rFonts w:ascii="Arial" w:hAnsi="Arial" w:cs="Arial"/>
                <w:b/>
              </w:rPr>
            </w:pPr>
            <w:r>
              <w:rPr>
                <w:rFonts w:ascii="Arial" w:hAnsi="Arial" w:cs="Arial"/>
                <w:b/>
              </w:rPr>
              <w:t>2006</w:t>
            </w:r>
          </w:p>
        </w:tc>
      </w:tr>
      <w:tr w:rsidR="002A47EB" w:rsidRPr="008B58A5" w:rsidTr="004252C1">
        <w:tc>
          <w:tcPr>
            <w:tcW w:w="2693" w:type="dxa"/>
            <w:tcBorders>
              <w:top w:val="nil"/>
              <w:left w:val="nil"/>
            </w:tcBorders>
            <w:shd w:val="clear" w:color="auto" w:fill="FFFFFF" w:themeFill="background1"/>
          </w:tcPr>
          <w:p w:rsidR="002A47EB" w:rsidRPr="00DE547A" w:rsidRDefault="002A47EB" w:rsidP="00726F2A">
            <w:pPr>
              <w:rPr>
                <w:rFonts w:ascii="Arial" w:hAnsi="Arial" w:cs="Arial"/>
                <w:b/>
              </w:rPr>
            </w:pPr>
          </w:p>
        </w:tc>
        <w:tc>
          <w:tcPr>
            <w:tcW w:w="3260"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Total Persons</w:t>
            </w:r>
          </w:p>
        </w:tc>
        <w:tc>
          <w:tcPr>
            <w:tcW w:w="2835" w:type="dxa"/>
            <w:shd w:val="clear" w:color="auto" w:fill="8DB3E2" w:themeFill="text2" w:themeFillTint="66"/>
            <w:vAlign w:val="center"/>
          </w:tcPr>
          <w:p w:rsidR="002A47EB" w:rsidRPr="002E42CC" w:rsidRDefault="002A47EB" w:rsidP="004252C1">
            <w:pPr>
              <w:jc w:val="right"/>
              <w:rPr>
                <w:rFonts w:ascii="Arial" w:hAnsi="Arial" w:cs="Arial"/>
                <w:b/>
              </w:rPr>
            </w:pPr>
            <w:r>
              <w:rPr>
                <w:rFonts w:ascii="Arial" w:hAnsi="Arial" w:cs="Arial"/>
                <w:b/>
              </w:rPr>
              <w:t>Total Persons</w:t>
            </w:r>
          </w:p>
        </w:tc>
      </w:tr>
      <w:tr w:rsidR="002063A6" w:rsidRPr="008B58A5" w:rsidTr="004252C1">
        <w:tc>
          <w:tcPr>
            <w:tcW w:w="2693"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Car, as driver</w:t>
            </w:r>
          </w:p>
        </w:tc>
        <w:tc>
          <w:tcPr>
            <w:tcW w:w="3260"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662,947(60.4%)</w:t>
            </w:r>
          </w:p>
        </w:tc>
        <w:tc>
          <w:tcPr>
            <w:tcW w:w="283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570,271(60.9%)</w:t>
            </w:r>
          </w:p>
        </w:tc>
      </w:tr>
      <w:tr w:rsidR="002063A6" w:rsidRPr="008B58A5" w:rsidTr="004252C1">
        <w:tc>
          <w:tcPr>
            <w:tcW w:w="2693"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Car, as passenger</w:t>
            </w:r>
          </w:p>
        </w:tc>
        <w:tc>
          <w:tcPr>
            <w:tcW w:w="3260"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63,483(5.8%)</w:t>
            </w:r>
          </w:p>
        </w:tc>
        <w:tc>
          <w:tcPr>
            <w:tcW w:w="283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58,751(6.3%)</w:t>
            </w:r>
          </w:p>
        </w:tc>
      </w:tr>
      <w:tr w:rsidR="002063A6" w:rsidRPr="008B58A5" w:rsidTr="004252C1">
        <w:tc>
          <w:tcPr>
            <w:tcW w:w="2693"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Bus</w:t>
            </w:r>
          </w:p>
        </w:tc>
        <w:tc>
          <w:tcPr>
            <w:tcW w:w="3260"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40,761(3.7%)</w:t>
            </w:r>
          </w:p>
        </w:tc>
        <w:tc>
          <w:tcPr>
            <w:tcW w:w="283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32,619(3.5%)</w:t>
            </w:r>
          </w:p>
        </w:tc>
      </w:tr>
      <w:tr w:rsidR="002063A6" w:rsidRPr="008B58A5" w:rsidTr="004252C1">
        <w:tc>
          <w:tcPr>
            <w:tcW w:w="2693"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Walked only</w:t>
            </w:r>
          </w:p>
        </w:tc>
        <w:tc>
          <w:tcPr>
            <w:tcW w:w="3260"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35,995(3.3%)</w:t>
            </w:r>
          </w:p>
        </w:tc>
        <w:tc>
          <w:tcPr>
            <w:tcW w:w="283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31,758(3.4%)</w:t>
            </w:r>
          </w:p>
        </w:tc>
      </w:tr>
      <w:tr w:rsidR="002063A6" w:rsidRPr="008B58A5" w:rsidTr="004252C1">
        <w:tc>
          <w:tcPr>
            <w:tcW w:w="2693" w:type="dxa"/>
            <w:shd w:val="clear" w:color="auto" w:fill="8DB3E2" w:themeFill="text2" w:themeFillTint="66"/>
            <w:vAlign w:val="bottom"/>
          </w:tcPr>
          <w:p w:rsidR="002063A6" w:rsidRPr="004252C1" w:rsidRDefault="002063A6" w:rsidP="004252C1">
            <w:pPr>
              <w:rPr>
                <w:rFonts w:ascii="Arial" w:hAnsi="Arial" w:cs="Arial"/>
                <w:sz w:val="18"/>
                <w:szCs w:val="18"/>
              </w:rPr>
            </w:pPr>
            <w:r w:rsidRPr="004252C1">
              <w:rPr>
                <w:rFonts w:ascii="Arial" w:hAnsi="Arial" w:cs="Arial"/>
                <w:sz w:val="18"/>
                <w:szCs w:val="18"/>
              </w:rPr>
              <w:t>Train</w:t>
            </w:r>
          </w:p>
        </w:tc>
        <w:tc>
          <w:tcPr>
            <w:tcW w:w="3260"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24,269(2.2%)</w:t>
            </w:r>
          </w:p>
        </w:tc>
        <w:tc>
          <w:tcPr>
            <w:tcW w:w="283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14,119(1.5%)</w:t>
            </w:r>
          </w:p>
        </w:tc>
      </w:tr>
      <w:tr w:rsidR="002063A6" w:rsidRPr="008B58A5" w:rsidTr="004252C1">
        <w:tc>
          <w:tcPr>
            <w:tcW w:w="2693" w:type="dxa"/>
            <w:shd w:val="clear" w:color="auto" w:fill="8DB3E2" w:themeFill="text2" w:themeFillTint="66"/>
            <w:vAlign w:val="bottom"/>
          </w:tcPr>
          <w:p w:rsidR="002063A6" w:rsidRPr="004252C1" w:rsidRDefault="002063A6" w:rsidP="004252C1">
            <w:pPr>
              <w:rPr>
                <w:rFonts w:ascii="Arial" w:hAnsi="Arial" w:cs="Arial"/>
                <w:color w:val="000000" w:themeColor="text1"/>
                <w:sz w:val="18"/>
                <w:szCs w:val="18"/>
              </w:rPr>
            </w:pPr>
            <w:r w:rsidRPr="004252C1">
              <w:rPr>
                <w:rFonts w:ascii="Arial" w:hAnsi="Arial" w:cs="Arial"/>
                <w:color w:val="000000" w:themeColor="text1"/>
                <w:sz w:val="18"/>
                <w:szCs w:val="18"/>
              </w:rPr>
              <w:t>Total persons</w:t>
            </w:r>
          </w:p>
        </w:tc>
        <w:tc>
          <w:tcPr>
            <w:tcW w:w="3260"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1,097,879(100.0%)</w:t>
            </w:r>
          </w:p>
        </w:tc>
        <w:tc>
          <w:tcPr>
            <w:tcW w:w="2835"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936,130(100.0%)</w:t>
            </w:r>
          </w:p>
        </w:tc>
      </w:tr>
    </w:tbl>
    <w:p w:rsidR="00EC5711" w:rsidRDefault="00EC5711" w:rsidP="00EC5711">
      <w:pPr>
        <w:rPr>
          <w:rFonts w:ascii="Arial" w:eastAsia="Times New Roman" w:hAnsi="Arial" w:cs="Arial"/>
          <w:color w:val="000000"/>
          <w:lang w:eastAsia="en-AU"/>
        </w:rPr>
      </w:pPr>
    </w:p>
    <w:p w:rsidR="002063A6" w:rsidRPr="009F4D8B" w:rsidRDefault="002063A6" w:rsidP="002063A6">
      <w:pPr>
        <w:pStyle w:val="ListParagraph"/>
        <w:numPr>
          <w:ilvl w:val="0"/>
          <w:numId w:val="5"/>
        </w:numPr>
        <w:rPr>
          <w:rFonts w:ascii="Arial" w:eastAsia="Times New Roman" w:hAnsi="Arial" w:cs="Arial"/>
          <w:color w:val="548DD4" w:themeColor="text2" w:themeTint="99"/>
          <w:lang w:eastAsia="en-AU"/>
        </w:rPr>
      </w:pPr>
      <w:r w:rsidRPr="009F4D8B">
        <w:rPr>
          <w:rFonts w:ascii="Arial" w:hAnsi="Arial" w:cs="Arial"/>
          <w:b/>
          <w:bCs/>
          <w:color w:val="548DD4" w:themeColor="text2" w:themeTint="99"/>
          <w:sz w:val="18"/>
          <w:szCs w:val="18"/>
        </w:rPr>
        <w:t>Transport by car continues to be the most commonly reported method of travel to work</w:t>
      </w:r>
      <w:r w:rsidR="000852FC" w:rsidRPr="009F4D8B">
        <w:rPr>
          <w:rFonts w:ascii="Arial" w:hAnsi="Arial" w:cs="Arial"/>
          <w:b/>
          <w:bCs/>
          <w:color w:val="548DD4" w:themeColor="text2" w:themeTint="99"/>
          <w:sz w:val="18"/>
          <w:szCs w:val="18"/>
        </w:rPr>
        <w:t xml:space="preserve"> in Western Australia</w:t>
      </w:r>
      <w:r w:rsidRPr="009F4D8B">
        <w:rPr>
          <w:rFonts w:ascii="Arial" w:hAnsi="Arial" w:cs="Arial"/>
          <w:b/>
          <w:bCs/>
          <w:color w:val="548DD4" w:themeColor="text2" w:themeTint="99"/>
          <w:sz w:val="18"/>
          <w:szCs w:val="18"/>
        </w:rPr>
        <w:t>. Almost two third</w:t>
      </w:r>
      <w:r w:rsidR="000852FC" w:rsidRPr="009F4D8B">
        <w:rPr>
          <w:rFonts w:ascii="Arial" w:hAnsi="Arial" w:cs="Arial"/>
          <w:b/>
          <w:bCs/>
          <w:color w:val="548DD4" w:themeColor="text2" w:themeTint="99"/>
          <w:sz w:val="18"/>
          <w:szCs w:val="18"/>
        </w:rPr>
        <w:t>s</w:t>
      </w:r>
      <w:r w:rsidRPr="009F4D8B">
        <w:rPr>
          <w:rFonts w:ascii="Arial" w:hAnsi="Arial" w:cs="Arial"/>
          <w:b/>
          <w:bCs/>
          <w:color w:val="548DD4" w:themeColor="text2" w:themeTint="99"/>
          <w:sz w:val="18"/>
          <w:szCs w:val="18"/>
        </w:rPr>
        <w:t xml:space="preserve"> (66.2%) of employed persons </w:t>
      </w:r>
      <w:r w:rsidR="000852FC" w:rsidRPr="009F4D8B">
        <w:rPr>
          <w:rFonts w:ascii="Arial" w:hAnsi="Arial" w:cs="Arial"/>
          <w:b/>
          <w:bCs/>
          <w:color w:val="548DD4" w:themeColor="text2" w:themeTint="99"/>
          <w:sz w:val="18"/>
          <w:szCs w:val="18"/>
        </w:rPr>
        <w:t xml:space="preserve">aged 15 years and over </w:t>
      </w:r>
      <w:r w:rsidRPr="009F4D8B">
        <w:rPr>
          <w:rFonts w:ascii="Arial" w:hAnsi="Arial" w:cs="Arial"/>
          <w:b/>
          <w:bCs/>
          <w:color w:val="548DD4" w:themeColor="text2" w:themeTint="99"/>
          <w:sz w:val="18"/>
          <w:szCs w:val="18"/>
        </w:rPr>
        <w:t xml:space="preserve">reported that they travelled to work by </w:t>
      </w:r>
      <w:r w:rsidR="000852FC" w:rsidRPr="009F4D8B">
        <w:rPr>
          <w:rFonts w:ascii="Arial" w:hAnsi="Arial" w:cs="Arial"/>
          <w:b/>
          <w:bCs/>
          <w:color w:val="548DD4" w:themeColor="text2" w:themeTint="99"/>
          <w:sz w:val="18"/>
          <w:szCs w:val="18"/>
        </w:rPr>
        <w:t>c</w:t>
      </w:r>
      <w:r w:rsidRPr="009F4D8B">
        <w:rPr>
          <w:rFonts w:ascii="Arial" w:hAnsi="Arial" w:cs="Arial"/>
          <w:b/>
          <w:bCs/>
          <w:color w:val="548DD4" w:themeColor="text2" w:themeTint="99"/>
          <w:sz w:val="18"/>
          <w:szCs w:val="18"/>
        </w:rPr>
        <w:t>ar (either as driver or a passenger) on 9 August 2011.</w:t>
      </w:r>
    </w:p>
    <w:p w:rsidR="002063A6" w:rsidRPr="009F4D8B" w:rsidRDefault="002063A6" w:rsidP="002063A6">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 xml:space="preserve">The number of </w:t>
      </w:r>
      <w:r w:rsidR="000852FC" w:rsidRPr="009F4D8B">
        <w:rPr>
          <w:rFonts w:ascii="Arial" w:hAnsi="Arial" w:cs="Arial"/>
          <w:b/>
          <w:bCs/>
          <w:color w:val="548DD4" w:themeColor="text2" w:themeTint="99"/>
          <w:sz w:val="18"/>
          <w:szCs w:val="18"/>
        </w:rPr>
        <w:t>persons</w:t>
      </w:r>
      <w:r w:rsidRPr="009F4D8B">
        <w:rPr>
          <w:rFonts w:ascii="Arial" w:hAnsi="Arial" w:cs="Arial"/>
          <w:b/>
          <w:bCs/>
          <w:color w:val="548DD4" w:themeColor="text2" w:themeTint="99"/>
          <w:sz w:val="18"/>
          <w:szCs w:val="18"/>
        </w:rPr>
        <w:t xml:space="preserve"> who travelled by </w:t>
      </w:r>
      <w:r w:rsidR="000852FC" w:rsidRPr="009F4D8B">
        <w:rPr>
          <w:rFonts w:ascii="Arial" w:hAnsi="Arial" w:cs="Arial"/>
          <w:b/>
          <w:bCs/>
          <w:color w:val="548DD4" w:themeColor="text2" w:themeTint="99"/>
          <w:sz w:val="18"/>
          <w:szCs w:val="18"/>
        </w:rPr>
        <w:t>b</w:t>
      </w:r>
      <w:r w:rsidRPr="009F4D8B">
        <w:rPr>
          <w:rFonts w:ascii="Arial" w:hAnsi="Arial" w:cs="Arial"/>
          <w:b/>
          <w:bCs/>
          <w:color w:val="548DD4" w:themeColor="text2" w:themeTint="99"/>
          <w:sz w:val="18"/>
          <w:szCs w:val="18"/>
        </w:rPr>
        <w:t xml:space="preserve">us to work has </w:t>
      </w:r>
      <w:r w:rsidR="000852FC" w:rsidRPr="009F4D8B">
        <w:rPr>
          <w:rFonts w:ascii="Arial" w:hAnsi="Arial" w:cs="Arial"/>
          <w:b/>
          <w:bCs/>
          <w:color w:val="548DD4" w:themeColor="text2" w:themeTint="99"/>
          <w:sz w:val="18"/>
          <w:szCs w:val="18"/>
        </w:rPr>
        <w:t>increased</w:t>
      </w:r>
      <w:r w:rsidRPr="009F4D8B">
        <w:rPr>
          <w:rFonts w:ascii="Arial" w:hAnsi="Arial" w:cs="Arial"/>
          <w:b/>
          <w:bCs/>
          <w:color w:val="548DD4" w:themeColor="text2" w:themeTint="99"/>
          <w:sz w:val="18"/>
          <w:szCs w:val="18"/>
        </w:rPr>
        <w:t xml:space="preserve"> from 32,619 (3.5%) in 2006 to 40,761 (3.7%) in 2011. The number of those who travelled to work by train also increased from 14,119 (1.5%) in 2006 to 24,269 (2.2%) in 2011.</w:t>
      </w:r>
    </w:p>
    <w:p w:rsidR="00726F2A" w:rsidRPr="009F4D8B" w:rsidRDefault="002063A6" w:rsidP="000852FC">
      <w:pPr>
        <w:pStyle w:val="ListParagraph"/>
        <w:numPr>
          <w:ilvl w:val="0"/>
          <w:numId w:val="5"/>
        </w:numPr>
        <w:rPr>
          <w:rFonts w:ascii="Arial" w:eastAsia="Times New Roman" w:hAnsi="Arial" w:cs="Arial"/>
          <w:b/>
          <w:color w:val="548DD4" w:themeColor="text2" w:themeTint="99"/>
          <w:lang w:eastAsia="en-AU"/>
        </w:rPr>
      </w:pPr>
      <w:r w:rsidRPr="009F4D8B">
        <w:rPr>
          <w:rFonts w:ascii="Arial" w:hAnsi="Arial" w:cs="Arial"/>
          <w:b/>
          <w:bCs/>
          <w:color w:val="548DD4" w:themeColor="text2" w:themeTint="99"/>
          <w:sz w:val="18"/>
          <w:szCs w:val="18"/>
        </w:rPr>
        <w:t xml:space="preserve">The number of those who walked to work has </w:t>
      </w:r>
      <w:r w:rsidR="000852FC" w:rsidRPr="009F4D8B">
        <w:rPr>
          <w:rFonts w:ascii="Arial" w:hAnsi="Arial" w:cs="Arial"/>
          <w:b/>
          <w:bCs/>
          <w:color w:val="548DD4" w:themeColor="text2" w:themeTint="99"/>
          <w:sz w:val="18"/>
          <w:szCs w:val="18"/>
        </w:rPr>
        <w:t>increased</w:t>
      </w:r>
      <w:r w:rsidRPr="009F4D8B">
        <w:rPr>
          <w:rFonts w:ascii="Arial" w:hAnsi="Arial" w:cs="Arial"/>
          <w:b/>
          <w:bCs/>
          <w:color w:val="548DD4" w:themeColor="text2" w:themeTint="99"/>
          <w:sz w:val="18"/>
          <w:szCs w:val="18"/>
        </w:rPr>
        <w:t xml:space="preserve"> slightly from 31,758 in 2006 to 35,995 in 2011; however the proportion of persons who walked to work </w:t>
      </w:r>
      <w:r w:rsidR="000852FC" w:rsidRPr="009F4D8B">
        <w:rPr>
          <w:rFonts w:ascii="Arial" w:hAnsi="Arial" w:cs="Arial"/>
          <w:b/>
          <w:bCs/>
          <w:color w:val="548DD4" w:themeColor="text2" w:themeTint="99"/>
          <w:sz w:val="18"/>
          <w:szCs w:val="18"/>
        </w:rPr>
        <w:t xml:space="preserve">has decreased slightly </w:t>
      </w:r>
      <w:r w:rsidRPr="009F4D8B">
        <w:rPr>
          <w:rFonts w:ascii="Arial" w:hAnsi="Arial" w:cs="Arial"/>
          <w:b/>
          <w:bCs/>
          <w:color w:val="548DD4" w:themeColor="text2" w:themeTint="99"/>
          <w:sz w:val="18"/>
          <w:szCs w:val="18"/>
        </w:rPr>
        <w:t>(</w:t>
      </w:r>
      <w:r w:rsidR="000852FC" w:rsidRPr="009F4D8B">
        <w:rPr>
          <w:rFonts w:ascii="Arial" w:hAnsi="Arial" w:cs="Arial"/>
          <w:b/>
          <w:bCs/>
          <w:color w:val="548DD4" w:themeColor="text2" w:themeTint="99"/>
          <w:sz w:val="18"/>
          <w:szCs w:val="18"/>
        </w:rPr>
        <w:t xml:space="preserve">from </w:t>
      </w:r>
      <w:r w:rsidRPr="009F4D8B">
        <w:rPr>
          <w:rFonts w:ascii="Arial" w:hAnsi="Arial" w:cs="Arial"/>
          <w:b/>
          <w:bCs/>
          <w:color w:val="548DD4" w:themeColor="text2" w:themeTint="99"/>
          <w:sz w:val="18"/>
          <w:szCs w:val="18"/>
        </w:rPr>
        <w:t>3.4% in 2006 to 3.3 % in 2011).</w:t>
      </w:r>
    </w:p>
    <w:p w:rsidR="00CE1624" w:rsidRDefault="00CE1624">
      <w:pPr>
        <w:rPr>
          <w:rFonts w:ascii="Arial" w:eastAsia="Times New Roman" w:hAnsi="Arial" w:cs="Arial"/>
          <w:b/>
          <w:color w:val="000000"/>
          <w:lang w:eastAsia="en-AU"/>
        </w:rPr>
      </w:pPr>
      <w:r>
        <w:rPr>
          <w:rFonts w:ascii="Arial" w:eastAsia="Times New Roman" w:hAnsi="Arial" w:cs="Arial"/>
          <w:b/>
          <w:color w:val="000000"/>
          <w:lang w:eastAsia="en-AU"/>
        </w:rPr>
        <w:br w:type="page"/>
      </w: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CE1624" w:rsidP="00CE1624">
      <w:pPr>
        <w:spacing w:after="0"/>
        <w:jc w:val="center"/>
        <w:rPr>
          <w:rFonts w:ascii="Arial" w:hAnsi="Arial" w:cs="Arial"/>
          <w:b/>
          <w:sz w:val="28"/>
          <w:szCs w:val="28"/>
        </w:rPr>
      </w:pPr>
    </w:p>
    <w:p w:rsidR="00CE1624" w:rsidRDefault="002063A6" w:rsidP="00CE1624">
      <w:pPr>
        <w:spacing w:after="0"/>
        <w:jc w:val="center"/>
        <w:rPr>
          <w:rFonts w:ascii="Arial" w:hAnsi="Arial" w:cs="Arial"/>
          <w:b/>
          <w:sz w:val="32"/>
          <w:szCs w:val="32"/>
        </w:rPr>
      </w:pPr>
      <w:r>
        <w:rPr>
          <w:rFonts w:ascii="Arial" w:hAnsi="Arial" w:cs="Arial"/>
          <w:b/>
          <w:sz w:val="32"/>
          <w:szCs w:val="32"/>
        </w:rPr>
        <w:t xml:space="preserve">Western </w:t>
      </w:r>
      <w:r w:rsidR="00CE1624" w:rsidRPr="00BF1EC3">
        <w:rPr>
          <w:rFonts w:ascii="Arial" w:hAnsi="Arial" w:cs="Arial"/>
          <w:b/>
          <w:sz w:val="32"/>
          <w:szCs w:val="32"/>
        </w:rPr>
        <w:t>Australia</w:t>
      </w:r>
    </w:p>
    <w:p w:rsidR="00CE1624" w:rsidRPr="00BF1EC3" w:rsidRDefault="00CE1624" w:rsidP="00CE1624">
      <w:pPr>
        <w:spacing w:after="0"/>
        <w:jc w:val="center"/>
        <w:rPr>
          <w:rFonts w:ascii="Arial" w:hAnsi="Arial" w:cs="Arial"/>
          <w:b/>
          <w:sz w:val="28"/>
          <w:szCs w:val="28"/>
        </w:rPr>
      </w:pPr>
    </w:p>
    <w:p w:rsidR="00577B41" w:rsidRPr="00577B41" w:rsidRDefault="00577B41" w:rsidP="00577B41">
      <w:pPr>
        <w:jc w:val="center"/>
        <w:rPr>
          <w:rFonts w:ascii="Arial" w:eastAsia="Times New Roman" w:hAnsi="Arial" w:cs="Arial"/>
          <w:b/>
          <w:color w:val="000000"/>
          <w:sz w:val="28"/>
          <w:szCs w:val="28"/>
          <w:lang w:eastAsia="en-AU"/>
        </w:rPr>
      </w:pPr>
      <w:r w:rsidRPr="00577B41">
        <w:rPr>
          <w:rFonts w:ascii="Arial" w:eastAsia="Times New Roman" w:hAnsi="Arial" w:cs="Arial"/>
          <w:b/>
          <w:color w:val="000000"/>
          <w:sz w:val="28"/>
          <w:szCs w:val="28"/>
          <w:lang w:eastAsia="en-AU"/>
        </w:rPr>
        <w:t>Pl</w:t>
      </w:r>
      <w:r w:rsidR="000852FC">
        <w:rPr>
          <w:rFonts w:ascii="Arial" w:eastAsia="Times New Roman" w:hAnsi="Arial" w:cs="Arial"/>
          <w:b/>
          <w:color w:val="000000"/>
          <w:sz w:val="28"/>
          <w:szCs w:val="28"/>
          <w:lang w:eastAsia="en-AU"/>
        </w:rPr>
        <w:t>ace of Usual Residence one</w:t>
      </w:r>
      <w:r w:rsidRPr="00577B41">
        <w:rPr>
          <w:rFonts w:ascii="Arial" w:eastAsia="Times New Roman" w:hAnsi="Arial" w:cs="Arial"/>
          <w:b/>
          <w:color w:val="000000"/>
          <w:sz w:val="28"/>
          <w:szCs w:val="28"/>
          <w:lang w:eastAsia="en-AU"/>
        </w:rPr>
        <w:t xml:space="preserve"> year ago (all persons who moved</w:t>
      </w:r>
      <w:r w:rsidR="000852FC">
        <w:rPr>
          <w:rFonts w:ascii="Arial" w:eastAsia="Times New Roman" w:hAnsi="Arial" w:cs="Arial"/>
          <w:b/>
          <w:color w:val="000000"/>
          <w:sz w:val="28"/>
          <w:szCs w:val="28"/>
          <w:lang w:eastAsia="en-AU"/>
        </w:rPr>
        <w:t>, excluding persons aged under one</w:t>
      </w:r>
      <w:r w:rsidRPr="00577B41">
        <w:rPr>
          <w:rFonts w:ascii="Arial" w:eastAsia="Times New Roman" w:hAnsi="Arial" w:cs="Arial"/>
          <w:b/>
          <w:color w:val="000000"/>
          <w:sz w:val="28"/>
          <w:szCs w:val="28"/>
          <w:lang w:eastAsia="en-AU"/>
        </w:rPr>
        <w:t xml:space="preserve"> year)</w:t>
      </w:r>
    </w:p>
    <w:tbl>
      <w:tblPr>
        <w:tblStyle w:val="TableGrid"/>
        <w:tblW w:w="8930" w:type="dxa"/>
        <w:tblInd w:w="250" w:type="dxa"/>
        <w:tblLook w:val="04A0" w:firstRow="1" w:lastRow="0" w:firstColumn="1" w:lastColumn="0" w:noHBand="0" w:noVBand="1"/>
      </w:tblPr>
      <w:tblGrid>
        <w:gridCol w:w="2693"/>
        <w:gridCol w:w="3261"/>
        <w:gridCol w:w="2976"/>
      </w:tblGrid>
      <w:tr w:rsidR="002A47EB" w:rsidTr="004252C1">
        <w:trPr>
          <w:trHeight w:val="340"/>
        </w:trPr>
        <w:tc>
          <w:tcPr>
            <w:tcW w:w="2693" w:type="dxa"/>
            <w:tcBorders>
              <w:top w:val="nil"/>
              <w:left w:val="nil"/>
            </w:tcBorders>
            <w:shd w:val="clear" w:color="auto" w:fill="FFFFFF" w:themeFill="background1"/>
          </w:tcPr>
          <w:p w:rsidR="002A47EB" w:rsidRDefault="002A47EB" w:rsidP="00742EC1">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4252C1">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4252C1">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337AAE" w:rsidTr="00337AAE">
        <w:trPr>
          <w:trHeight w:val="340"/>
        </w:trPr>
        <w:tc>
          <w:tcPr>
            <w:tcW w:w="2693" w:type="dxa"/>
            <w:shd w:val="clear" w:color="auto" w:fill="8DB3E2" w:themeFill="text2" w:themeFillTint="66"/>
            <w:vAlign w:val="bottom"/>
          </w:tcPr>
          <w:p w:rsidR="00337AAE" w:rsidRPr="007139A3" w:rsidRDefault="00337AAE" w:rsidP="00337AAE">
            <w:pPr>
              <w:rPr>
                <w:rFonts w:ascii="Arial" w:hAnsi="Arial" w:cs="Arial"/>
                <w:sz w:val="18"/>
                <w:szCs w:val="18"/>
              </w:rPr>
            </w:pPr>
            <w:r>
              <w:rPr>
                <w:rFonts w:ascii="Arial" w:hAnsi="Arial" w:cs="Arial"/>
                <w:sz w:val="18"/>
                <w:szCs w:val="18"/>
              </w:rPr>
              <w:t>Within State</w:t>
            </w:r>
          </w:p>
        </w:tc>
        <w:tc>
          <w:tcPr>
            <w:tcW w:w="3261" w:type="dxa"/>
            <w:shd w:val="clear" w:color="auto" w:fill="C6D9F1" w:themeFill="text2" w:themeFillTint="33"/>
            <w:vAlign w:val="bottom"/>
          </w:tcPr>
          <w:p w:rsidR="00337AAE" w:rsidRPr="004252C1" w:rsidRDefault="00337AAE" w:rsidP="004252C1">
            <w:pPr>
              <w:jc w:val="right"/>
              <w:rPr>
                <w:rFonts w:ascii="Arial" w:hAnsi="Arial" w:cs="Arial"/>
                <w:sz w:val="18"/>
                <w:szCs w:val="18"/>
              </w:rPr>
            </w:pPr>
            <w:r w:rsidRPr="004252C1">
              <w:rPr>
                <w:rFonts w:ascii="Arial" w:hAnsi="Arial" w:cs="Arial"/>
                <w:sz w:val="18"/>
                <w:szCs w:val="18"/>
              </w:rPr>
              <w:t>286,942 (77.7%)</w:t>
            </w:r>
          </w:p>
        </w:tc>
        <w:tc>
          <w:tcPr>
            <w:tcW w:w="2976" w:type="dxa"/>
            <w:shd w:val="clear" w:color="auto" w:fill="C6D9F1" w:themeFill="text2" w:themeFillTint="33"/>
            <w:vAlign w:val="bottom"/>
          </w:tcPr>
          <w:p w:rsidR="00337AAE" w:rsidRPr="004252C1" w:rsidRDefault="00337AAE" w:rsidP="004252C1">
            <w:pPr>
              <w:jc w:val="right"/>
              <w:rPr>
                <w:rFonts w:ascii="Arial" w:hAnsi="Arial" w:cs="Arial"/>
                <w:sz w:val="18"/>
                <w:szCs w:val="18"/>
              </w:rPr>
            </w:pPr>
            <w:r w:rsidRPr="004252C1">
              <w:rPr>
                <w:rFonts w:ascii="Arial" w:hAnsi="Arial" w:cs="Arial"/>
                <w:sz w:val="18"/>
                <w:szCs w:val="18"/>
              </w:rPr>
              <w:t>291,298 (81.4%)</w:t>
            </w:r>
          </w:p>
        </w:tc>
      </w:tr>
      <w:tr w:rsidR="00337AAE" w:rsidTr="00337AAE">
        <w:trPr>
          <w:trHeight w:val="340"/>
        </w:trPr>
        <w:tc>
          <w:tcPr>
            <w:tcW w:w="2693" w:type="dxa"/>
            <w:shd w:val="clear" w:color="auto" w:fill="8DB3E2" w:themeFill="text2" w:themeFillTint="66"/>
            <w:vAlign w:val="bottom"/>
          </w:tcPr>
          <w:p w:rsidR="00337AAE" w:rsidRPr="007139A3" w:rsidRDefault="00337AAE" w:rsidP="00337AAE">
            <w:pPr>
              <w:rPr>
                <w:rFonts w:ascii="Arial" w:hAnsi="Arial" w:cs="Arial"/>
                <w:sz w:val="18"/>
                <w:szCs w:val="18"/>
              </w:rPr>
            </w:pPr>
            <w:r>
              <w:rPr>
                <w:rFonts w:ascii="Arial" w:hAnsi="Arial" w:cs="Arial"/>
                <w:sz w:val="18"/>
                <w:szCs w:val="18"/>
              </w:rPr>
              <w:t>Interstate</w:t>
            </w:r>
          </w:p>
        </w:tc>
        <w:tc>
          <w:tcPr>
            <w:tcW w:w="3261" w:type="dxa"/>
            <w:shd w:val="clear" w:color="auto" w:fill="C6D9F1" w:themeFill="text2" w:themeFillTint="33"/>
            <w:vAlign w:val="bottom"/>
          </w:tcPr>
          <w:p w:rsidR="00337AAE" w:rsidRPr="004252C1" w:rsidRDefault="00337AAE" w:rsidP="004252C1">
            <w:pPr>
              <w:jc w:val="right"/>
              <w:rPr>
                <w:rFonts w:ascii="Arial" w:hAnsi="Arial" w:cs="Arial"/>
                <w:sz w:val="18"/>
                <w:szCs w:val="18"/>
              </w:rPr>
            </w:pPr>
            <w:r w:rsidRPr="004252C1">
              <w:rPr>
                <w:rFonts w:ascii="Arial" w:hAnsi="Arial" w:cs="Arial"/>
                <w:sz w:val="18"/>
                <w:szCs w:val="18"/>
              </w:rPr>
              <w:t>32,773 (8.9%)</w:t>
            </w:r>
          </w:p>
        </w:tc>
        <w:tc>
          <w:tcPr>
            <w:tcW w:w="2976" w:type="dxa"/>
            <w:shd w:val="clear" w:color="auto" w:fill="C6D9F1" w:themeFill="text2" w:themeFillTint="33"/>
            <w:vAlign w:val="bottom"/>
          </w:tcPr>
          <w:p w:rsidR="00337AAE" w:rsidRPr="004252C1" w:rsidRDefault="00337AAE" w:rsidP="004252C1">
            <w:pPr>
              <w:jc w:val="right"/>
              <w:rPr>
                <w:rFonts w:ascii="Arial" w:hAnsi="Arial" w:cs="Arial"/>
                <w:sz w:val="18"/>
                <w:szCs w:val="18"/>
              </w:rPr>
            </w:pPr>
            <w:r w:rsidRPr="004252C1">
              <w:rPr>
                <w:rFonts w:ascii="Arial" w:hAnsi="Arial" w:cs="Arial"/>
                <w:sz w:val="18"/>
                <w:szCs w:val="18"/>
              </w:rPr>
              <w:t>26,784 (7.5%)</w:t>
            </w:r>
          </w:p>
        </w:tc>
      </w:tr>
      <w:tr w:rsidR="002063A6" w:rsidTr="004252C1">
        <w:trPr>
          <w:trHeight w:val="340"/>
        </w:trPr>
        <w:tc>
          <w:tcPr>
            <w:tcW w:w="2693"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45,825 (12.4%)</w:t>
            </w:r>
          </w:p>
        </w:tc>
        <w:tc>
          <w:tcPr>
            <w:tcW w:w="2976"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36,290 (10.1%)</w:t>
            </w:r>
          </w:p>
        </w:tc>
      </w:tr>
      <w:tr w:rsidR="002063A6" w:rsidTr="004252C1">
        <w:trPr>
          <w:trHeight w:val="340"/>
        </w:trPr>
        <w:tc>
          <w:tcPr>
            <w:tcW w:w="2693" w:type="dxa"/>
            <w:shd w:val="clear" w:color="auto" w:fill="8DB3E2" w:themeFill="text2" w:themeFillTint="66"/>
            <w:vAlign w:val="bottom"/>
          </w:tcPr>
          <w:p w:rsidR="002063A6" w:rsidRPr="004252C1" w:rsidRDefault="002063A6" w:rsidP="004252C1">
            <w:pPr>
              <w:spacing w:before="60"/>
              <w:rPr>
                <w:rFonts w:ascii="Arial" w:eastAsia="Times New Roman" w:hAnsi="Arial" w:cs="Arial"/>
                <w:color w:val="000000"/>
                <w:sz w:val="18"/>
                <w:szCs w:val="18"/>
                <w:lang w:eastAsia="en-AU"/>
              </w:rPr>
            </w:pPr>
            <w:r w:rsidRPr="004252C1">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369,199 (100.0%)</w:t>
            </w:r>
          </w:p>
        </w:tc>
        <w:tc>
          <w:tcPr>
            <w:tcW w:w="2976" w:type="dxa"/>
            <w:shd w:val="clear" w:color="auto" w:fill="C6D9F1" w:themeFill="text2" w:themeFillTint="33"/>
            <w:vAlign w:val="bottom"/>
          </w:tcPr>
          <w:p w:rsidR="002063A6" w:rsidRPr="004252C1" w:rsidRDefault="002063A6" w:rsidP="004252C1">
            <w:pPr>
              <w:jc w:val="right"/>
              <w:rPr>
                <w:rFonts w:ascii="Arial" w:hAnsi="Arial" w:cs="Arial"/>
                <w:sz w:val="18"/>
                <w:szCs w:val="18"/>
              </w:rPr>
            </w:pPr>
            <w:r w:rsidRPr="004252C1">
              <w:rPr>
                <w:rFonts w:ascii="Arial" w:hAnsi="Arial" w:cs="Arial"/>
                <w:sz w:val="18"/>
                <w:szCs w:val="18"/>
              </w:rPr>
              <w:t>357,737 (100.0%)</w:t>
            </w:r>
          </w:p>
        </w:tc>
      </w:tr>
    </w:tbl>
    <w:p w:rsidR="006B4BFF" w:rsidRDefault="006B4BFF" w:rsidP="00EC5711">
      <w:pPr>
        <w:rPr>
          <w:rFonts w:ascii="Arial" w:hAnsi="Arial" w:cs="Arial"/>
          <w:b/>
        </w:rPr>
      </w:pPr>
    </w:p>
    <w:p w:rsidR="00337AAE" w:rsidRDefault="00337AAE" w:rsidP="00337AAE">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Of the WA residents who moved in the year prior to the 2011 Census, most </w:t>
      </w:r>
      <w:r w:rsidRPr="000D3BE0">
        <w:rPr>
          <w:rFonts w:ascii="Arial" w:hAnsi="Arial" w:cs="Arial"/>
          <w:b/>
          <w:bCs/>
          <w:color w:val="4181C0"/>
          <w:sz w:val="18"/>
          <w:szCs w:val="18"/>
        </w:rPr>
        <w:t xml:space="preserve">moved within the </w:t>
      </w:r>
      <w:r>
        <w:rPr>
          <w:rFonts w:ascii="Arial" w:hAnsi="Arial" w:cs="Arial"/>
          <w:b/>
          <w:bCs/>
          <w:color w:val="4181C0"/>
          <w:sz w:val="18"/>
          <w:szCs w:val="18"/>
        </w:rPr>
        <w:t>State</w:t>
      </w:r>
      <w:r w:rsidRPr="000D3BE0">
        <w:rPr>
          <w:rFonts w:ascii="Arial" w:hAnsi="Arial" w:cs="Arial"/>
          <w:b/>
          <w:bCs/>
          <w:color w:val="4181C0"/>
          <w:sz w:val="18"/>
          <w:szCs w:val="18"/>
        </w:rPr>
        <w:t xml:space="preserve"> </w:t>
      </w:r>
      <w:r>
        <w:rPr>
          <w:rFonts w:ascii="Arial" w:hAnsi="Arial" w:cs="Arial"/>
          <w:b/>
          <w:bCs/>
          <w:color w:val="4181C0"/>
          <w:sz w:val="18"/>
          <w:szCs w:val="18"/>
        </w:rPr>
        <w:t>(77.7%).</w:t>
      </w:r>
    </w:p>
    <w:p w:rsidR="00337AAE" w:rsidRPr="00337AAE" w:rsidRDefault="00337AAE" w:rsidP="00337AAE">
      <w:pPr>
        <w:pStyle w:val="ListParagraph"/>
        <w:numPr>
          <w:ilvl w:val="0"/>
          <w:numId w:val="5"/>
        </w:numPr>
        <w:rPr>
          <w:rFonts w:ascii="Arial" w:hAnsi="Arial" w:cs="Arial"/>
          <w:b/>
          <w:bCs/>
          <w:color w:val="4181C0"/>
          <w:sz w:val="18"/>
          <w:szCs w:val="18"/>
        </w:rPr>
      </w:pPr>
      <w:r w:rsidRPr="00337AAE">
        <w:rPr>
          <w:rFonts w:ascii="Arial" w:hAnsi="Arial" w:cs="Arial"/>
          <w:b/>
          <w:bCs/>
          <w:color w:val="4181C0"/>
          <w:sz w:val="18"/>
          <w:szCs w:val="18"/>
        </w:rPr>
        <w:t>There were 45,825 (12.4%)</w:t>
      </w:r>
      <w:r w:rsidRPr="00337AAE">
        <w:rPr>
          <w:rFonts w:ascii="Arial" w:hAnsi="Arial" w:cs="Arial"/>
          <w:b/>
          <w:bCs/>
          <w:color w:val="FF0000"/>
          <w:sz w:val="18"/>
          <w:szCs w:val="18"/>
        </w:rPr>
        <w:t xml:space="preserve"> </w:t>
      </w:r>
      <w:r w:rsidRPr="00337AAE">
        <w:rPr>
          <w:rFonts w:ascii="Arial" w:hAnsi="Arial" w:cs="Arial"/>
          <w:b/>
          <w:bCs/>
          <w:color w:val="4181C0"/>
          <w:sz w:val="18"/>
          <w:szCs w:val="18"/>
        </w:rPr>
        <w:t>of persons who had moved to WA fro</w:t>
      </w:r>
      <w:r>
        <w:rPr>
          <w:rFonts w:ascii="Arial" w:hAnsi="Arial" w:cs="Arial"/>
          <w:b/>
          <w:bCs/>
          <w:color w:val="4181C0"/>
          <w:sz w:val="18"/>
          <w:szCs w:val="18"/>
        </w:rPr>
        <w:t xml:space="preserve">m overseas in the year prior to the </w:t>
      </w:r>
      <w:r w:rsidRPr="00337AAE">
        <w:rPr>
          <w:rFonts w:ascii="Arial" w:hAnsi="Arial" w:cs="Arial"/>
          <w:b/>
          <w:bCs/>
          <w:color w:val="4181C0"/>
          <w:sz w:val="18"/>
          <w:szCs w:val="18"/>
        </w:rPr>
        <w:t>2011 Census.</w:t>
      </w:r>
    </w:p>
    <w:p w:rsidR="002063A6" w:rsidRPr="00337AAE" w:rsidRDefault="002063A6" w:rsidP="00337AAE">
      <w:pPr>
        <w:pStyle w:val="ListParagraph"/>
        <w:rPr>
          <w:rFonts w:ascii="Arial" w:hAnsi="Arial" w:cs="Arial"/>
          <w:b/>
          <w:bCs/>
          <w:color w:val="4181C0"/>
          <w:sz w:val="18"/>
          <w:szCs w:val="18"/>
        </w:rPr>
      </w:pPr>
    </w:p>
    <w:p w:rsidR="00C6641B" w:rsidRDefault="00C6641B" w:rsidP="00337AAE">
      <w:pPr>
        <w:rPr>
          <w:rFonts w:ascii="Arial" w:eastAsia="Times New Roman" w:hAnsi="Arial" w:cs="Arial"/>
          <w:b/>
          <w:color w:val="000000"/>
          <w:lang w:eastAsia="en-AU"/>
        </w:rPr>
      </w:pPr>
    </w:p>
    <w:p w:rsidR="00577B41" w:rsidRPr="00577B41" w:rsidRDefault="00936C4C" w:rsidP="00577B41">
      <w:pPr>
        <w:jc w:val="center"/>
        <w:rPr>
          <w:rFonts w:ascii="Arial" w:eastAsia="Times New Roman" w:hAnsi="Arial" w:cs="Arial"/>
          <w:b/>
          <w:color w:val="000000"/>
          <w:sz w:val="28"/>
          <w:szCs w:val="28"/>
          <w:lang w:eastAsia="en-AU"/>
        </w:rPr>
      </w:pPr>
      <w:r>
        <w:rPr>
          <w:rFonts w:ascii="Arial" w:eastAsia="Times New Roman" w:hAnsi="Arial" w:cs="Arial"/>
          <w:b/>
          <w:color w:val="000000"/>
          <w:sz w:val="28"/>
          <w:szCs w:val="28"/>
          <w:lang w:eastAsia="en-AU"/>
        </w:rPr>
        <w:t>Place of Usual Residence five</w:t>
      </w:r>
      <w:r w:rsidR="00577B41" w:rsidRPr="00577B41">
        <w:rPr>
          <w:rFonts w:ascii="Arial" w:eastAsia="Times New Roman" w:hAnsi="Arial" w:cs="Arial"/>
          <w:b/>
          <w:color w:val="000000"/>
          <w:sz w:val="28"/>
          <w:szCs w:val="28"/>
          <w:lang w:eastAsia="en-AU"/>
        </w:rPr>
        <w:t xml:space="preserve"> years ago (all persons who moved</w:t>
      </w:r>
      <w:r>
        <w:rPr>
          <w:rFonts w:ascii="Arial" w:eastAsia="Times New Roman" w:hAnsi="Arial" w:cs="Arial"/>
          <w:b/>
          <w:color w:val="000000"/>
          <w:sz w:val="28"/>
          <w:szCs w:val="28"/>
          <w:lang w:eastAsia="en-AU"/>
        </w:rPr>
        <w:t>, excluding persons aged under five</w:t>
      </w:r>
      <w:r w:rsidR="00577B41" w:rsidRPr="00577B41">
        <w:rPr>
          <w:rFonts w:ascii="Arial" w:eastAsia="Times New Roman" w:hAnsi="Arial" w:cs="Arial"/>
          <w:b/>
          <w:color w:val="000000"/>
          <w:sz w:val="28"/>
          <w:szCs w:val="28"/>
          <w:lang w:eastAsia="en-AU"/>
        </w:rPr>
        <w:t xml:space="preserve"> years)</w:t>
      </w:r>
    </w:p>
    <w:tbl>
      <w:tblPr>
        <w:tblStyle w:val="TableGrid"/>
        <w:tblW w:w="8930" w:type="dxa"/>
        <w:tblInd w:w="250" w:type="dxa"/>
        <w:tblLook w:val="04A0" w:firstRow="1" w:lastRow="0" w:firstColumn="1" w:lastColumn="0" w:noHBand="0" w:noVBand="1"/>
      </w:tblPr>
      <w:tblGrid>
        <w:gridCol w:w="2693"/>
        <w:gridCol w:w="3261"/>
        <w:gridCol w:w="2976"/>
      </w:tblGrid>
      <w:tr w:rsidR="002A47EB" w:rsidTr="00DF2863">
        <w:trPr>
          <w:trHeight w:val="340"/>
        </w:trPr>
        <w:tc>
          <w:tcPr>
            <w:tcW w:w="2693" w:type="dxa"/>
            <w:tcBorders>
              <w:top w:val="nil"/>
              <w:left w:val="nil"/>
            </w:tcBorders>
            <w:shd w:val="clear" w:color="auto" w:fill="FFFFFF" w:themeFill="background1"/>
          </w:tcPr>
          <w:p w:rsidR="002A47EB" w:rsidRDefault="002A47EB" w:rsidP="002A47EB">
            <w:pPr>
              <w:jc w:val="center"/>
              <w:rPr>
                <w:rFonts w:ascii="Arial" w:eastAsia="Times New Roman" w:hAnsi="Arial" w:cs="Arial"/>
                <w:b/>
                <w:color w:val="000000"/>
                <w:lang w:eastAsia="en-AU"/>
              </w:rPr>
            </w:pPr>
          </w:p>
        </w:tc>
        <w:tc>
          <w:tcPr>
            <w:tcW w:w="3261" w:type="dxa"/>
            <w:shd w:val="clear" w:color="auto" w:fill="548DD4" w:themeFill="text2" w:themeFillTint="99"/>
            <w:vAlign w:val="center"/>
          </w:tcPr>
          <w:p w:rsidR="002A47EB" w:rsidRPr="00140DF9" w:rsidRDefault="002A47EB" w:rsidP="00DF2863">
            <w:pPr>
              <w:jc w:val="right"/>
              <w:rPr>
                <w:rFonts w:ascii="Arial" w:eastAsia="Times New Roman" w:hAnsi="Arial" w:cs="Arial"/>
                <w:b/>
                <w:color w:val="000000"/>
                <w:lang w:eastAsia="en-AU"/>
              </w:rPr>
            </w:pPr>
            <w:r>
              <w:rPr>
                <w:rFonts w:ascii="Arial" w:eastAsia="Times New Roman" w:hAnsi="Arial" w:cs="Arial"/>
                <w:b/>
                <w:color w:val="000000"/>
                <w:lang w:eastAsia="en-AU"/>
              </w:rPr>
              <w:t>2011</w:t>
            </w:r>
          </w:p>
        </w:tc>
        <w:tc>
          <w:tcPr>
            <w:tcW w:w="2976" w:type="dxa"/>
            <w:shd w:val="clear" w:color="auto" w:fill="548DD4" w:themeFill="text2" w:themeFillTint="99"/>
            <w:vAlign w:val="center"/>
          </w:tcPr>
          <w:p w:rsidR="002A47EB" w:rsidRPr="00140DF9" w:rsidRDefault="002A47EB" w:rsidP="00DF2863">
            <w:pPr>
              <w:jc w:val="right"/>
              <w:rPr>
                <w:rFonts w:ascii="Arial" w:eastAsia="Times New Roman" w:hAnsi="Arial" w:cs="Arial"/>
                <w:b/>
                <w:color w:val="000000"/>
                <w:lang w:eastAsia="en-AU"/>
              </w:rPr>
            </w:pPr>
            <w:r>
              <w:rPr>
                <w:rFonts w:ascii="Arial" w:eastAsia="Times New Roman" w:hAnsi="Arial" w:cs="Arial"/>
                <w:b/>
                <w:color w:val="000000"/>
                <w:lang w:eastAsia="en-AU"/>
              </w:rPr>
              <w:t>2006</w:t>
            </w:r>
          </w:p>
        </w:tc>
      </w:tr>
      <w:tr w:rsidR="00337AAE" w:rsidTr="00DF2863">
        <w:trPr>
          <w:trHeight w:val="340"/>
        </w:trPr>
        <w:tc>
          <w:tcPr>
            <w:tcW w:w="2693" w:type="dxa"/>
            <w:shd w:val="clear" w:color="auto" w:fill="8DB3E2" w:themeFill="text2" w:themeFillTint="66"/>
            <w:vAlign w:val="bottom"/>
          </w:tcPr>
          <w:p w:rsidR="00337AAE" w:rsidRPr="007139A3" w:rsidRDefault="00337AAE" w:rsidP="00387700">
            <w:pPr>
              <w:rPr>
                <w:rFonts w:ascii="Arial" w:hAnsi="Arial" w:cs="Arial"/>
                <w:sz w:val="18"/>
                <w:szCs w:val="18"/>
              </w:rPr>
            </w:pPr>
            <w:r>
              <w:rPr>
                <w:rFonts w:ascii="Arial" w:hAnsi="Arial" w:cs="Arial"/>
                <w:sz w:val="18"/>
                <w:szCs w:val="18"/>
              </w:rPr>
              <w:t>Within State</w:t>
            </w:r>
          </w:p>
        </w:tc>
        <w:tc>
          <w:tcPr>
            <w:tcW w:w="3261" w:type="dxa"/>
            <w:shd w:val="clear" w:color="auto" w:fill="C6D9F1" w:themeFill="text2" w:themeFillTint="33"/>
            <w:vAlign w:val="bottom"/>
          </w:tcPr>
          <w:p w:rsidR="00337AAE" w:rsidRPr="00DF2863" w:rsidRDefault="00337AAE" w:rsidP="00DF2863">
            <w:pPr>
              <w:jc w:val="right"/>
              <w:rPr>
                <w:rFonts w:ascii="Arial" w:hAnsi="Arial" w:cs="Arial"/>
                <w:sz w:val="18"/>
                <w:szCs w:val="18"/>
              </w:rPr>
            </w:pPr>
            <w:r w:rsidRPr="00DF2863">
              <w:rPr>
                <w:rFonts w:ascii="Arial" w:hAnsi="Arial" w:cs="Arial"/>
                <w:sz w:val="18"/>
                <w:szCs w:val="18"/>
              </w:rPr>
              <w:t>619,339 (69.8%)</w:t>
            </w:r>
          </w:p>
        </w:tc>
        <w:tc>
          <w:tcPr>
            <w:tcW w:w="2976" w:type="dxa"/>
            <w:shd w:val="clear" w:color="auto" w:fill="C6D9F1" w:themeFill="text2" w:themeFillTint="33"/>
            <w:vAlign w:val="bottom"/>
          </w:tcPr>
          <w:p w:rsidR="00337AAE" w:rsidRPr="00DF2863" w:rsidRDefault="00337AAE" w:rsidP="00DF2863">
            <w:pPr>
              <w:jc w:val="right"/>
              <w:rPr>
                <w:rFonts w:ascii="Arial" w:hAnsi="Arial" w:cs="Arial"/>
                <w:sz w:val="18"/>
                <w:szCs w:val="18"/>
              </w:rPr>
            </w:pPr>
            <w:r w:rsidRPr="00DF2863">
              <w:rPr>
                <w:rFonts w:ascii="Arial" w:hAnsi="Arial" w:cs="Arial"/>
                <w:sz w:val="18"/>
                <w:szCs w:val="18"/>
              </w:rPr>
              <w:t>638,781 (78.5%)</w:t>
            </w:r>
          </w:p>
        </w:tc>
      </w:tr>
      <w:tr w:rsidR="00337AAE" w:rsidTr="00DF2863">
        <w:trPr>
          <w:trHeight w:val="340"/>
        </w:trPr>
        <w:tc>
          <w:tcPr>
            <w:tcW w:w="2693" w:type="dxa"/>
            <w:shd w:val="clear" w:color="auto" w:fill="8DB3E2" w:themeFill="text2" w:themeFillTint="66"/>
            <w:vAlign w:val="bottom"/>
          </w:tcPr>
          <w:p w:rsidR="00337AAE" w:rsidRPr="007139A3" w:rsidRDefault="00337AAE" w:rsidP="00387700">
            <w:pPr>
              <w:rPr>
                <w:rFonts w:ascii="Arial" w:hAnsi="Arial" w:cs="Arial"/>
                <w:sz w:val="18"/>
                <w:szCs w:val="18"/>
              </w:rPr>
            </w:pPr>
            <w:r>
              <w:rPr>
                <w:rFonts w:ascii="Arial" w:hAnsi="Arial" w:cs="Arial"/>
                <w:sz w:val="18"/>
                <w:szCs w:val="18"/>
              </w:rPr>
              <w:t>Interstate</w:t>
            </w:r>
          </w:p>
        </w:tc>
        <w:tc>
          <w:tcPr>
            <w:tcW w:w="3261" w:type="dxa"/>
            <w:shd w:val="clear" w:color="auto" w:fill="C6D9F1" w:themeFill="text2" w:themeFillTint="33"/>
            <w:vAlign w:val="bottom"/>
          </w:tcPr>
          <w:p w:rsidR="00337AAE" w:rsidRPr="00DF2863" w:rsidRDefault="00337AAE" w:rsidP="00DF2863">
            <w:pPr>
              <w:jc w:val="right"/>
              <w:rPr>
                <w:rFonts w:ascii="Arial" w:hAnsi="Arial" w:cs="Arial"/>
                <w:sz w:val="18"/>
                <w:szCs w:val="18"/>
              </w:rPr>
            </w:pPr>
            <w:r w:rsidRPr="00DF2863">
              <w:rPr>
                <w:rFonts w:ascii="Arial" w:hAnsi="Arial" w:cs="Arial"/>
                <w:sz w:val="18"/>
                <w:szCs w:val="18"/>
              </w:rPr>
              <w:t>79,727 (9.0%)</w:t>
            </w:r>
          </w:p>
        </w:tc>
        <w:tc>
          <w:tcPr>
            <w:tcW w:w="2976" w:type="dxa"/>
            <w:shd w:val="clear" w:color="auto" w:fill="C6D9F1" w:themeFill="text2" w:themeFillTint="33"/>
            <w:vAlign w:val="bottom"/>
          </w:tcPr>
          <w:p w:rsidR="00337AAE" w:rsidRPr="00DF2863" w:rsidRDefault="00337AAE" w:rsidP="00DF2863">
            <w:pPr>
              <w:jc w:val="right"/>
              <w:rPr>
                <w:rFonts w:ascii="Arial" w:hAnsi="Arial" w:cs="Arial"/>
                <w:sz w:val="18"/>
                <w:szCs w:val="18"/>
              </w:rPr>
            </w:pPr>
            <w:r w:rsidRPr="00DF2863">
              <w:rPr>
                <w:rFonts w:ascii="Arial" w:hAnsi="Arial" w:cs="Arial"/>
                <w:sz w:val="18"/>
                <w:szCs w:val="18"/>
              </w:rPr>
              <w:t>64,364 (7.9%)</w:t>
            </w:r>
          </w:p>
        </w:tc>
      </w:tr>
      <w:tr w:rsidR="002063A6" w:rsidTr="00DF2863">
        <w:trPr>
          <w:trHeight w:val="340"/>
        </w:trPr>
        <w:tc>
          <w:tcPr>
            <w:tcW w:w="2693" w:type="dxa"/>
            <w:shd w:val="clear" w:color="auto" w:fill="8DB3E2" w:themeFill="text2" w:themeFillTint="66"/>
            <w:vAlign w:val="bottom"/>
          </w:tcPr>
          <w:p w:rsidR="002063A6" w:rsidRPr="00DF2863" w:rsidRDefault="002063A6" w:rsidP="00DF2863">
            <w:pPr>
              <w:spacing w:before="60"/>
              <w:rPr>
                <w:rFonts w:ascii="Arial" w:eastAsia="Times New Roman" w:hAnsi="Arial" w:cs="Arial"/>
                <w:color w:val="000000"/>
                <w:sz w:val="18"/>
                <w:szCs w:val="18"/>
                <w:lang w:eastAsia="en-AU"/>
              </w:rPr>
            </w:pPr>
            <w:r w:rsidRPr="00DF2863">
              <w:rPr>
                <w:rFonts w:ascii="Arial" w:eastAsia="Times New Roman" w:hAnsi="Arial" w:cs="Arial"/>
                <w:color w:val="000000"/>
                <w:sz w:val="18"/>
                <w:szCs w:val="18"/>
                <w:lang w:eastAsia="en-AU"/>
              </w:rPr>
              <w:t>Overseas</w:t>
            </w:r>
          </w:p>
        </w:tc>
        <w:tc>
          <w:tcPr>
            <w:tcW w:w="3261" w:type="dxa"/>
            <w:shd w:val="clear" w:color="auto" w:fill="C6D9F1" w:themeFill="text2" w:themeFillTint="33"/>
            <w:vAlign w:val="bottom"/>
          </w:tcPr>
          <w:p w:rsidR="002063A6" w:rsidRPr="00DF2863" w:rsidRDefault="002063A6" w:rsidP="00DF2863">
            <w:pPr>
              <w:jc w:val="right"/>
              <w:rPr>
                <w:rFonts w:ascii="Arial" w:hAnsi="Arial" w:cs="Arial"/>
                <w:sz w:val="18"/>
                <w:szCs w:val="18"/>
              </w:rPr>
            </w:pPr>
            <w:r w:rsidRPr="00DF2863">
              <w:rPr>
                <w:rFonts w:ascii="Arial" w:hAnsi="Arial" w:cs="Arial"/>
                <w:sz w:val="18"/>
                <w:szCs w:val="18"/>
              </w:rPr>
              <w:t>179,450 (20.2%)</w:t>
            </w:r>
          </w:p>
        </w:tc>
        <w:tc>
          <w:tcPr>
            <w:tcW w:w="2976" w:type="dxa"/>
            <w:shd w:val="clear" w:color="auto" w:fill="C6D9F1" w:themeFill="text2" w:themeFillTint="33"/>
            <w:vAlign w:val="bottom"/>
          </w:tcPr>
          <w:p w:rsidR="002063A6" w:rsidRPr="00DF2863" w:rsidRDefault="002063A6" w:rsidP="00DF2863">
            <w:pPr>
              <w:jc w:val="right"/>
              <w:rPr>
                <w:rFonts w:ascii="Arial" w:hAnsi="Arial" w:cs="Arial"/>
                <w:sz w:val="18"/>
                <w:szCs w:val="18"/>
              </w:rPr>
            </w:pPr>
            <w:r w:rsidRPr="00DF2863">
              <w:rPr>
                <w:rFonts w:ascii="Arial" w:hAnsi="Arial" w:cs="Arial"/>
                <w:sz w:val="18"/>
                <w:szCs w:val="18"/>
              </w:rPr>
              <w:t>101,091 (12.4%)</w:t>
            </w:r>
          </w:p>
        </w:tc>
      </w:tr>
      <w:tr w:rsidR="002063A6" w:rsidTr="00DF2863">
        <w:trPr>
          <w:trHeight w:val="340"/>
        </w:trPr>
        <w:tc>
          <w:tcPr>
            <w:tcW w:w="2693" w:type="dxa"/>
            <w:shd w:val="clear" w:color="auto" w:fill="8DB3E2" w:themeFill="text2" w:themeFillTint="66"/>
            <w:vAlign w:val="bottom"/>
          </w:tcPr>
          <w:p w:rsidR="002063A6" w:rsidRPr="00DF2863" w:rsidRDefault="002063A6" w:rsidP="00DF2863">
            <w:pPr>
              <w:spacing w:before="60"/>
              <w:rPr>
                <w:rFonts w:ascii="Arial" w:eastAsia="Times New Roman" w:hAnsi="Arial" w:cs="Arial"/>
                <w:color w:val="000000"/>
                <w:sz w:val="18"/>
                <w:szCs w:val="18"/>
                <w:lang w:eastAsia="en-AU"/>
              </w:rPr>
            </w:pPr>
            <w:r w:rsidRPr="00DF2863">
              <w:rPr>
                <w:rFonts w:ascii="Arial" w:eastAsia="Times New Roman" w:hAnsi="Arial" w:cs="Arial"/>
                <w:color w:val="000000"/>
                <w:sz w:val="18"/>
                <w:szCs w:val="18"/>
                <w:lang w:eastAsia="en-AU"/>
              </w:rPr>
              <w:t>Total persons</w:t>
            </w:r>
          </w:p>
        </w:tc>
        <w:tc>
          <w:tcPr>
            <w:tcW w:w="3261" w:type="dxa"/>
            <w:shd w:val="clear" w:color="auto" w:fill="C6D9F1" w:themeFill="text2" w:themeFillTint="33"/>
            <w:vAlign w:val="bottom"/>
          </w:tcPr>
          <w:p w:rsidR="002063A6" w:rsidRPr="00DF2863" w:rsidRDefault="002063A6" w:rsidP="00DF2863">
            <w:pPr>
              <w:jc w:val="right"/>
              <w:rPr>
                <w:rFonts w:ascii="Arial" w:hAnsi="Arial" w:cs="Arial"/>
                <w:sz w:val="18"/>
                <w:szCs w:val="18"/>
              </w:rPr>
            </w:pPr>
            <w:r w:rsidRPr="00DF2863">
              <w:rPr>
                <w:rFonts w:ascii="Arial" w:hAnsi="Arial" w:cs="Arial"/>
                <w:sz w:val="18"/>
                <w:szCs w:val="18"/>
              </w:rPr>
              <w:t>887,428 (100.0%)</w:t>
            </w:r>
          </w:p>
        </w:tc>
        <w:tc>
          <w:tcPr>
            <w:tcW w:w="2976" w:type="dxa"/>
            <w:shd w:val="clear" w:color="auto" w:fill="C6D9F1" w:themeFill="text2" w:themeFillTint="33"/>
            <w:vAlign w:val="bottom"/>
          </w:tcPr>
          <w:p w:rsidR="002063A6" w:rsidRPr="00DF2863" w:rsidRDefault="002063A6" w:rsidP="00DF2863">
            <w:pPr>
              <w:jc w:val="right"/>
              <w:rPr>
                <w:rFonts w:ascii="Arial" w:hAnsi="Arial" w:cs="Arial"/>
                <w:sz w:val="18"/>
                <w:szCs w:val="18"/>
              </w:rPr>
            </w:pPr>
            <w:r w:rsidRPr="00DF2863">
              <w:rPr>
                <w:rFonts w:ascii="Arial" w:hAnsi="Arial" w:cs="Arial"/>
                <w:sz w:val="18"/>
                <w:szCs w:val="18"/>
              </w:rPr>
              <w:t>813,959 (100.0%)</w:t>
            </w:r>
          </w:p>
        </w:tc>
      </w:tr>
    </w:tbl>
    <w:p w:rsidR="002A47EB" w:rsidRDefault="002A47EB" w:rsidP="002A47EB">
      <w:pPr>
        <w:rPr>
          <w:rFonts w:ascii="Arial" w:hAnsi="Arial" w:cs="Arial"/>
          <w:b/>
        </w:rPr>
      </w:pPr>
    </w:p>
    <w:p w:rsidR="002063A6" w:rsidRDefault="002063A6" w:rsidP="002063A6">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More than two-third</w:t>
      </w:r>
      <w:r w:rsidR="00936C4C">
        <w:rPr>
          <w:rFonts w:ascii="Arial" w:hAnsi="Arial" w:cs="Arial"/>
          <w:b/>
          <w:bCs/>
          <w:color w:val="4181C0"/>
          <w:sz w:val="18"/>
          <w:szCs w:val="18"/>
        </w:rPr>
        <w:t>s</w:t>
      </w:r>
      <w:r>
        <w:rPr>
          <w:rFonts w:ascii="Arial" w:hAnsi="Arial" w:cs="Arial"/>
          <w:b/>
          <w:bCs/>
          <w:color w:val="4181C0"/>
          <w:sz w:val="18"/>
          <w:szCs w:val="18"/>
        </w:rPr>
        <w:t xml:space="preserve"> </w:t>
      </w:r>
      <w:r w:rsidRPr="00555961">
        <w:rPr>
          <w:rFonts w:ascii="Arial" w:hAnsi="Arial" w:cs="Arial"/>
          <w:b/>
          <w:bCs/>
          <w:color w:val="4181C0"/>
          <w:sz w:val="18"/>
          <w:szCs w:val="18"/>
        </w:rPr>
        <w:t>(69.8</w:t>
      </w:r>
      <w:r w:rsidR="00936C4C">
        <w:rPr>
          <w:rFonts w:ascii="Arial" w:hAnsi="Arial" w:cs="Arial"/>
          <w:b/>
          <w:bCs/>
          <w:color w:val="4181C0"/>
          <w:sz w:val="18"/>
          <w:szCs w:val="18"/>
        </w:rPr>
        <w:t>%</w:t>
      </w:r>
      <w:r w:rsidRPr="00555961">
        <w:rPr>
          <w:rFonts w:ascii="Arial" w:hAnsi="Arial" w:cs="Arial"/>
          <w:b/>
          <w:bCs/>
          <w:color w:val="4181C0"/>
          <w:sz w:val="18"/>
          <w:szCs w:val="18"/>
        </w:rPr>
        <w:t xml:space="preserve">) </w:t>
      </w:r>
      <w:r>
        <w:rPr>
          <w:rFonts w:ascii="Arial" w:hAnsi="Arial" w:cs="Arial"/>
          <w:b/>
          <w:bCs/>
          <w:color w:val="4181C0"/>
          <w:sz w:val="18"/>
          <w:szCs w:val="18"/>
        </w:rPr>
        <w:t xml:space="preserve">of the </w:t>
      </w:r>
      <w:r w:rsidR="00337AAE">
        <w:rPr>
          <w:rFonts w:ascii="Arial" w:hAnsi="Arial" w:cs="Arial"/>
          <w:b/>
          <w:bCs/>
          <w:color w:val="4181C0"/>
          <w:sz w:val="18"/>
          <w:szCs w:val="18"/>
        </w:rPr>
        <w:t>WA</w:t>
      </w:r>
      <w:r>
        <w:rPr>
          <w:rFonts w:ascii="Arial" w:hAnsi="Arial" w:cs="Arial"/>
          <w:b/>
          <w:bCs/>
          <w:color w:val="4181C0"/>
          <w:sz w:val="18"/>
          <w:szCs w:val="18"/>
        </w:rPr>
        <w:t xml:space="preserve"> residents who moved</w:t>
      </w:r>
      <w:r w:rsidR="00936C4C">
        <w:rPr>
          <w:rFonts w:ascii="Arial" w:hAnsi="Arial" w:cs="Arial"/>
          <w:b/>
          <w:bCs/>
          <w:color w:val="4181C0"/>
          <w:sz w:val="18"/>
          <w:szCs w:val="18"/>
        </w:rPr>
        <w:t xml:space="preserve"> in the</w:t>
      </w:r>
      <w:r>
        <w:rPr>
          <w:rFonts w:ascii="Arial" w:hAnsi="Arial" w:cs="Arial"/>
          <w:b/>
          <w:bCs/>
          <w:color w:val="4181C0"/>
          <w:sz w:val="18"/>
          <w:szCs w:val="18"/>
        </w:rPr>
        <w:t xml:space="preserve"> five years prior to </w:t>
      </w:r>
      <w:r w:rsidR="00936C4C">
        <w:rPr>
          <w:rFonts w:ascii="Arial" w:hAnsi="Arial" w:cs="Arial"/>
          <w:b/>
          <w:bCs/>
          <w:color w:val="4181C0"/>
          <w:sz w:val="18"/>
          <w:szCs w:val="18"/>
        </w:rPr>
        <w:t xml:space="preserve">the 2011 </w:t>
      </w:r>
      <w:r>
        <w:rPr>
          <w:rFonts w:ascii="Arial" w:hAnsi="Arial" w:cs="Arial"/>
          <w:b/>
          <w:bCs/>
          <w:color w:val="4181C0"/>
          <w:sz w:val="18"/>
          <w:szCs w:val="18"/>
        </w:rPr>
        <w:t xml:space="preserve">Census </w:t>
      </w:r>
      <w:r w:rsidRPr="000D3BE0">
        <w:rPr>
          <w:rFonts w:ascii="Arial" w:hAnsi="Arial" w:cs="Arial"/>
          <w:b/>
          <w:bCs/>
          <w:color w:val="4181C0"/>
          <w:sz w:val="18"/>
          <w:szCs w:val="18"/>
        </w:rPr>
        <w:t xml:space="preserve">moved within the </w:t>
      </w:r>
      <w:r w:rsidR="00936C4C">
        <w:rPr>
          <w:rFonts w:ascii="Arial" w:hAnsi="Arial" w:cs="Arial"/>
          <w:b/>
          <w:bCs/>
          <w:color w:val="4181C0"/>
          <w:sz w:val="18"/>
          <w:szCs w:val="18"/>
        </w:rPr>
        <w:t>s</w:t>
      </w:r>
      <w:r>
        <w:rPr>
          <w:rFonts w:ascii="Arial" w:hAnsi="Arial" w:cs="Arial"/>
          <w:b/>
          <w:bCs/>
          <w:color w:val="4181C0"/>
          <w:sz w:val="18"/>
          <w:szCs w:val="18"/>
        </w:rPr>
        <w:t>tate.</w:t>
      </w:r>
    </w:p>
    <w:p w:rsidR="002063A6" w:rsidRPr="00337AAE" w:rsidRDefault="00337AAE" w:rsidP="002A7F0F">
      <w:pPr>
        <w:pStyle w:val="ListParagraph"/>
        <w:numPr>
          <w:ilvl w:val="0"/>
          <w:numId w:val="5"/>
        </w:numPr>
        <w:rPr>
          <w:rFonts w:ascii="Arial" w:hAnsi="Arial" w:cs="Arial"/>
          <w:b/>
          <w:bCs/>
          <w:color w:val="4181C0"/>
          <w:sz w:val="18"/>
          <w:szCs w:val="18"/>
        </w:rPr>
      </w:pPr>
      <w:r>
        <w:rPr>
          <w:rFonts w:ascii="Arial" w:hAnsi="Arial" w:cs="Arial"/>
          <w:b/>
          <w:bCs/>
          <w:color w:val="4181C0"/>
          <w:sz w:val="18"/>
          <w:szCs w:val="18"/>
        </w:rPr>
        <w:t xml:space="preserve">There </w:t>
      </w:r>
      <w:r w:rsidRPr="00337AAE">
        <w:rPr>
          <w:rFonts w:ascii="Arial" w:hAnsi="Arial" w:cs="Arial"/>
          <w:b/>
          <w:bCs/>
          <w:color w:val="4181C0"/>
          <w:sz w:val="18"/>
          <w:szCs w:val="18"/>
        </w:rPr>
        <w:t xml:space="preserve">were 179,451 (20.2%) of persons who had moved to WA from overseas </w:t>
      </w:r>
      <w:r>
        <w:rPr>
          <w:rFonts w:ascii="Arial" w:hAnsi="Arial" w:cs="Arial"/>
          <w:b/>
          <w:bCs/>
          <w:color w:val="4181C0"/>
          <w:sz w:val="18"/>
          <w:szCs w:val="18"/>
        </w:rPr>
        <w:t xml:space="preserve">in the </w:t>
      </w:r>
      <w:r w:rsidRPr="00337AAE">
        <w:rPr>
          <w:rFonts w:ascii="Arial" w:hAnsi="Arial" w:cs="Arial"/>
          <w:b/>
          <w:bCs/>
          <w:color w:val="4181C0"/>
          <w:sz w:val="18"/>
          <w:szCs w:val="18"/>
        </w:rPr>
        <w:t xml:space="preserve">five years prior to </w:t>
      </w:r>
      <w:r>
        <w:rPr>
          <w:rFonts w:ascii="Arial" w:hAnsi="Arial" w:cs="Arial"/>
          <w:b/>
          <w:bCs/>
          <w:color w:val="4181C0"/>
          <w:sz w:val="18"/>
          <w:szCs w:val="18"/>
        </w:rPr>
        <w:t xml:space="preserve">the </w:t>
      </w:r>
      <w:r w:rsidRPr="00337AAE">
        <w:rPr>
          <w:rFonts w:ascii="Arial" w:hAnsi="Arial" w:cs="Arial"/>
          <w:b/>
          <w:bCs/>
          <w:color w:val="4181C0"/>
          <w:sz w:val="18"/>
          <w:szCs w:val="18"/>
        </w:rPr>
        <w:t>2011</w:t>
      </w:r>
      <w:r>
        <w:rPr>
          <w:rFonts w:ascii="Arial" w:hAnsi="Arial" w:cs="Arial"/>
          <w:b/>
          <w:bCs/>
          <w:color w:val="4181C0"/>
          <w:sz w:val="18"/>
          <w:szCs w:val="18"/>
        </w:rPr>
        <w:t xml:space="preserve"> Census</w:t>
      </w:r>
      <w:r w:rsidRPr="00337AAE">
        <w:rPr>
          <w:rFonts w:ascii="Arial" w:hAnsi="Arial" w:cs="Arial"/>
          <w:b/>
          <w:bCs/>
          <w:color w:val="4181C0"/>
          <w:sz w:val="18"/>
          <w:szCs w:val="18"/>
        </w:rPr>
        <w:t>.</w:t>
      </w:r>
    </w:p>
    <w:sectPr w:rsidR="002063A6" w:rsidRPr="00337AAE" w:rsidSect="00C274AF">
      <w:headerReference w:type="default" r:id="rId9"/>
      <w:footerReference w:type="default" r:id="rId10"/>
      <w:type w:val="continuous"/>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DC" w:rsidRDefault="005A68DC" w:rsidP="00FB2000">
      <w:pPr>
        <w:spacing w:after="0" w:line="240" w:lineRule="auto"/>
      </w:pPr>
      <w:r>
        <w:separator/>
      </w:r>
    </w:p>
  </w:endnote>
  <w:endnote w:type="continuationSeparator" w:id="0">
    <w:p w:rsidR="005A68DC" w:rsidRDefault="005A68DC" w:rsidP="00FB20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DC" w:rsidRDefault="005A68DC">
    <w:pPr>
      <w:pStyle w:val="Footer"/>
    </w:pPr>
    <w:r>
      <w:rPr>
        <w:noProof/>
        <w:lang w:eastAsia="en-AU"/>
      </w:rPr>
      <w:drawing>
        <wp:anchor distT="0" distB="0" distL="114300" distR="114300" simplePos="0" relativeHeight="251659264" behindDoc="1" locked="0" layoutInCell="1" allowOverlap="1" wp14:anchorId="4BFC2C6F" wp14:editId="24418CB2">
          <wp:simplePos x="0" y="0"/>
          <wp:positionH relativeFrom="column">
            <wp:posOffset>-925902</wp:posOffset>
          </wp:positionH>
          <wp:positionV relativeFrom="paragraph">
            <wp:posOffset>-449759</wp:posOffset>
          </wp:positionV>
          <wp:extent cx="7565366" cy="1239052"/>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65366" cy="1239052"/>
                  </a:xfrm>
                  <a:prstGeom prst="rect">
                    <a:avLst/>
                  </a:prstGeom>
                </pic:spPr>
              </pic:pic>
            </a:graphicData>
          </a:graphic>
          <wp14:sizeRelH relativeFrom="page">
            <wp14:pctWidth>0</wp14:pctWidth>
          </wp14:sizeRelH>
          <wp14:sizeRelV relativeFrom="page">
            <wp14:pctHeight>0</wp14:pctHeight>
          </wp14:sizeRelV>
        </wp:anchor>
      </w:drawing>
    </w:r>
  </w:p>
  <w:p w:rsidR="005A68DC" w:rsidRDefault="005A68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DC" w:rsidRDefault="005A68DC" w:rsidP="00FB2000">
      <w:pPr>
        <w:spacing w:after="0" w:line="240" w:lineRule="auto"/>
      </w:pPr>
      <w:r>
        <w:separator/>
      </w:r>
    </w:p>
  </w:footnote>
  <w:footnote w:type="continuationSeparator" w:id="0">
    <w:p w:rsidR="005A68DC" w:rsidRDefault="005A68DC" w:rsidP="00FB200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68DC" w:rsidRDefault="005A68DC">
    <w:pPr>
      <w:pStyle w:val="Header"/>
    </w:pPr>
    <w:r>
      <w:rPr>
        <w:noProof/>
        <w:lang w:eastAsia="en-AU"/>
      </w:rPr>
      <w:drawing>
        <wp:anchor distT="0" distB="0" distL="114300" distR="114300" simplePos="0" relativeHeight="251660288" behindDoc="1" locked="0" layoutInCell="1" allowOverlap="1" wp14:anchorId="1C2C4DBB" wp14:editId="6AAEB900">
          <wp:simplePos x="0" y="0"/>
          <wp:positionH relativeFrom="column">
            <wp:posOffset>-923026</wp:posOffset>
          </wp:positionH>
          <wp:positionV relativeFrom="paragraph">
            <wp:posOffset>-458841</wp:posOffset>
          </wp:positionV>
          <wp:extent cx="7548113" cy="2078966"/>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7548114" cy="2078966"/>
                  </a:xfrm>
                  <a:prstGeom prst="rect">
                    <a:avLst/>
                  </a:prstGeom>
                </pic:spPr>
              </pic:pic>
            </a:graphicData>
          </a:graphic>
          <wp14:sizeRelH relativeFrom="page">
            <wp14:pctWidth>0</wp14:pctWidth>
          </wp14:sizeRelH>
          <wp14:sizeRelV relativeFrom="page">
            <wp14:pctHeight>0</wp14:pctHeight>
          </wp14:sizeRelV>
        </wp:anchor>
      </w:drawing>
    </w:r>
    <w:r>
      <w:rPr>
        <w:noProof/>
        <w:lang w:eastAsia="en-AU"/>
      </w:rPr>
      <w:t>A</w:t>
    </w:r>
  </w:p>
  <w:p w:rsidR="005A68DC" w:rsidRDefault="005A68D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A2526"/>
    <w:multiLevelType w:val="hybridMultilevel"/>
    <w:tmpl w:val="D7CE9F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1D272E0"/>
    <w:multiLevelType w:val="hybridMultilevel"/>
    <w:tmpl w:val="DA5ECF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178047E7"/>
    <w:multiLevelType w:val="hybridMultilevel"/>
    <w:tmpl w:val="6AF49F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1C691708"/>
    <w:multiLevelType w:val="hybridMultilevel"/>
    <w:tmpl w:val="6E2037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4A2A75DD"/>
    <w:multiLevelType w:val="hybridMultilevel"/>
    <w:tmpl w:val="D6A07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52A60165"/>
    <w:multiLevelType w:val="hybridMultilevel"/>
    <w:tmpl w:val="4864BB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548124D3"/>
    <w:multiLevelType w:val="hybridMultilevel"/>
    <w:tmpl w:val="E86AE2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6B2715C8"/>
    <w:multiLevelType w:val="hybridMultilevel"/>
    <w:tmpl w:val="92927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7B0B158E"/>
    <w:multiLevelType w:val="hybridMultilevel"/>
    <w:tmpl w:val="1C3A271E"/>
    <w:lvl w:ilvl="0" w:tplc="0C090001">
      <w:start w:val="1"/>
      <w:numFmt w:val="bullet"/>
      <w:lvlText w:val=""/>
      <w:lvlJc w:val="left"/>
      <w:pPr>
        <w:ind w:left="719" w:hanging="360"/>
      </w:pPr>
      <w:rPr>
        <w:rFonts w:ascii="Symbol" w:hAnsi="Symbol" w:hint="default"/>
      </w:rPr>
    </w:lvl>
    <w:lvl w:ilvl="1" w:tplc="0C090003" w:tentative="1">
      <w:start w:val="1"/>
      <w:numFmt w:val="bullet"/>
      <w:lvlText w:val="o"/>
      <w:lvlJc w:val="left"/>
      <w:pPr>
        <w:ind w:left="1439" w:hanging="360"/>
      </w:pPr>
      <w:rPr>
        <w:rFonts w:ascii="Courier New" w:hAnsi="Courier New" w:cs="Courier New" w:hint="default"/>
      </w:rPr>
    </w:lvl>
    <w:lvl w:ilvl="2" w:tplc="0C090005" w:tentative="1">
      <w:start w:val="1"/>
      <w:numFmt w:val="bullet"/>
      <w:lvlText w:val=""/>
      <w:lvlJc w:val="left"/>
      <w:pPr>
        <w:ind w:left="2159" w:hanging="360"/>
      </w:pPr>
      <w:rPr>
        <w:rFonts w:ascii="Wingdings" w:hAnsi="Wingdings" w:hint="default"/>
      </w:rPr>
    </w:lvl>
    <w:lvl w:ilvl="3" w:tplc="0C090001" w:tentative="1">
      <w:start w:val="1"/>
      <w:numFmt w:val="bullet"/>
      <w:lvlText w:val=""/>
      <w:lvlJc w:val="left"/>
      <w:pPr>
        <w:ind w:left="2879" w:hanging="360"/>
      </w:pPr>
      <w:rPr>
        <w:rFonts w:ascii="Symbol" w:hAnsi="Symbol" w:hint="default"/>
      </w:rPr>
    </w:lvl>
    <w:lvl w:ilvl="4" w:tplc="0C090003" w:tentative="1">
      <w:start w:val="1"/>
      <w:numFmt w:val="bullet"/>
      <w:lvlText w:val="o"/>
      <w:lvlJc w:val="left"/>
      <w:pPr>
        <w:ind w:left="3599" w:hanging="360"/>
      </w:pPr>
      <w:rPr>
        <w:rFonts w:ascii="Courier New" w:hAnsi="Courier New" w:cs="Courier New" w:hint="default"/>
      </w:rPr>
    </w:lvl>
    <w:lvl w:ilvl="5" w:tplc="0C090005" w:tentative="1">
      <w:start w:val="1"/>
      <w:numFmt w:val="bullet"/>
      <w:lvlText w:val=""/>
      <w:lvlJc w:val="left"/>
      <w:pPr>
        <w:ind w:left="4319" w:hanging="360"/>
      </w:pPr>
      <w:rPr>
        <w:rFonts w:ascii="Wingdings" w:hAnsi="Wingdings" w:hint="default"/>
      </w:rPr>
    </w:lvl>
    <w:lvl w:ilvl="6" w:tplc="0C090001" w:tentative="1">
      <w:start w:val="1"/>
      <w:numFmt w:val="bullet"/>
      <w:lvlText w:val=""/>
      <w:lvlJc w:val="left"/>
      <w:pPr>
        <w:ind w:left="5039" w:hanging="360"/>
      </w:pPr>
      <w:rPr>
        <w:rFonts w:ascii="Symbol" w:hAnsi="Symbol" w:hint="default"/>
      </w:rPr>
    </w:lvl>
    <w:lvl w:ilvl="7" w:tplc="0C090003" w:tentative="1">
      <w:start w:val="1"/>
      <w:numFmt w:val="bullet"/>
      <w:lvlText w:val="o"/>
      <w:lvlJc w:val="left"/>
      <w:pPr>
        <w:ind w:left="5759" w:hanging="360"/>
      </w:pPr>
      <w:rPr>
        <w:rFonts w:ascii="Courier New" w:hAnsi="Courier New" w:cs="Courier New" w:hint="default"/>
      </w:rPr>
    </w:lvl>
    <w:lvl w:ilvl="8" w:tplc="0C090005" w:tentative="1">
      <w:start w:val="1"/>
      <w:numFmt w:val="bullet"/>
      <w:lvlText w:val=""/>
      <w:lvlJc w:val="left"/>
      <w:pPr>
        <w:ind w:left="6479" w:hanging="360"/>
      </w:pPr>
      <w:rPr>
        <w:rFonts w:ascii="Wingdings" w:hAnsi="Wingdings" w:hint="default"/>
      </w:rPr>
    </w:lvl>
  </w:abstractNum>
  <w:num w:numId="1">
    <w:abstractNumId w:val="0"/>
  </w:num>
  <w:num w:numId="2">
    <w:abstractNumId w:val="4"/>
  </w:num>
  <w:num w:numId="3">
    <w:abstractNumId w:val="7"/>
  </w:num>
  <w:num w:numId="4">
    <w:abstractNumId w:val="5"/>
  </w:num>
  <w:num w:numId="5">
    <w:abstractNumId w:val="1"/>
  </w:num>
  <w:num w:numId="6">
    <w:abstractNumId w:val="2"/>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121"/>
    <w:rsid w:val="00002FF8"/>
    <w:rsid w:val="00010853"/>
    <w:rsid w:val="00011BBB"/>
    <w:rsid w:val="000220E7"/>
    <w:rsid w:val="00041104"/>
    <w:rsid w:val="0004210F"/>
    <w:rsid w:val="000440A8"/>
    <w:rsid w:val="00072012"/>
    <w:rsid w:val="000772DD"/>
    <w:rsid w:val="000852FC"/>
    <w:rsid w:val="00091772"/>
    <w:rsid w:val="000A0AA0"/>
    <w:rsid w:val="000B0EEA"/>
    <w:rsid w:val="000B6B37"/>
    <w:rsid w:val="000C3003"/>
    <w:rsid w:val="000E619A"/>
    <w:rsid w:val="001222EF"/>
    <w:rsid w:val="0012464C"/>
    <w:rsid w:val="00126662"/>
    <w:rsid w:val="00142FDA"/>
    <w:rsid w:val="00177BBE"/>
    <w:rsid w:val="00184B1D"/>
    <w:rsid w:val="00195295"/>
    <w:rsid w:val="001A320D"/>
    <w:rsid w:val="001B4E57"/>
    <w:rsid w:val="001B6491"/>
    <w:rsid w:val="001C3BDA"/>
    <w:rsid w:val="001C5AD9"/>
    <w:rsid w:val="001D5700"/>
    <w:rsid w:val="001F1FBD"/>
    <w:rsid w:val="001F79FE"/>
    <w:rsid w:val="00200A52"/>
    <w:rsid w:val="002063A6"/>
    <w:rsid w:val="002236FF"/>
    <w:rsid w:val="00233455"/>
    <w:rsid w:val="0023602E"/>
    <w:rsid w:val="0027431A"/>
    <w:rsid w:val="00276567"/>
    <w:rsid w:val="002A47EB"/>
    <w:rsid w:val="002A7F0F"/>
    <w:rsid w:val="002C3A00"/>
    <w:rsid w:val="002C3C1C"/>
    <w:rsid w:val="002C53F7"/>
    <w:rsid w:val="002E398F"/>
    <w:rsid w:val="002E495F"/>
    <w:rsid w:val="002E589E"/>
    <w:rsid w:val="002F75D9"/>
    <w:rsid w:val="00323396"/>
    <w:rsid w:val="00323637"/>
    <w:rsid w:val="00336FAE"/>
    <w:rsid w:val="00337AAE"/>
    <w:rsid w:val="00343E6A"/>
    <w:rsid w:val="00344F14"/>
    <w:rsid w:val="003504A3"/>
    <w:rsid w:val="00351CE8"/>
    <w:rsid w:val="003836C7"/>
    <w:rsid w:val="003E7905"/>
    <w:rsid w:val="003F1FA6"/>
    <w:rsid w:val="0040658F"/>
    <w:rsid w:val="004252C1"/>
    <w:rsid w:val="00430AF6"/>
    <w:rsid w:val="00433831"/>
    <w:rsid w:val="00442F63"/>
    <w:rsid w:val="00453A95"/>
    <w:rsid w:val="004752F8"/>
    <w:rsid w:val="0047610A"/>
    <w:rsid w:val="004B1834"/>
    <w:rsid w:val="004F0023"/>
    <w:rsid w:val="00501823"/>
    <w:rsid w:val="00507121"/>
    <w:rsid w:val="0051406F"/>
    <w:rsid w:val="00520693"/>
    <w:rsid w:val="0054273D"/>
    <w:rsid w:val="0056133B"/>
    <w:rsid w:val="00576A85"/>
    <w:rsid w:val="00577B41"/>
    <w:rsid w:val="00584AA0"/>
    <w:rsid w:val="00594664"/>
    <w:rsid w:val="005A68DC"/>
    <w:rsid w:val="005C1188"/>
    <w:rsid w:val="005C397A"/>
    <w:rsid w:val="005D2C2E"/>
    <w:rsid w:val="00604ABE"/>
    <w:rsid w:val="006250FC"/>
    <w:rsid w:val="00677868"/>
    <w:rsid w:val="006A7683"/>
    <w:rsid w:val="006B4BFF"/>
    <w:rsid w:val="006E0FBB"/>
    <w:rsid w:val="006E1414"/>
    <w:rsid w:val="00702C83"/>
    <w:rsid w:val="007139A3"/>
    <w:rsid w:val="00726F2A"/>
    <w:rsid w:val="00740DF9"/>
    <w:rsid w:val="00742EC1"/>
    <w:rsid w:val="007647FC"/>
    <w:rsid w:val="00793493"/>
    <w:rsid w:val="007B610E"/>
    <w:rsid w:val="007D050C"/>
    <w:rsid w:val="008221E1"/>
    <w:rsid w:val="00830BD8"/>
    <w:rsid w:val="0085196E"/>
    <w:rsid w:val="008522F8"/>
    <w:rsid w:val="00864EA7"/>
    <w:rsid w:val="00891224"/>
    <w:rsid w:val="008A721D"/>
    <w:rsid w:val="008B2ACC"/>
    <w:rsid w:val="008B58A5"/>
    <w:rsid w:val="008C1667"/>
    <w:rsid w:val="009135CC"/>
    <w:rsid w:val="00913D3B"/>
    <w:rsid w:val="0091653E"/>
    <w:rsid w:val="00936274"/>
    <w:rsid w:val="00936C4C"/>
    <w:rsid w:val="00964903"/>
    <w:rsid w:val="00974250"/>
    <w:rsid w:val="009A0023"/>
    <w:rsid w:val="009C247B"/>
    <w:rsid w:val="009D6D94"/>
    <w:rsid w:val="009F4D8B"/>
    <w:rsid w:val="00A03386"/>
    <w:rsid w:val="00A11293"/>
    <w:rsid w:val="00A43D36"/>
    <w:rsid w:val="00A517E5"/>
    <w:rsid w:val="00A57632"/>
    <w:rsid w:val="00A833A0"/>
    <w:rsid w:val="00A84851"/>
    <w:rsid w:val="00B01E2F"/>
    <w:rsid w:val="00B27D30"/>
    <w:rsid w:val="00B5694C"/>
    <w:rsid w:val="00B63DE0"/>
    <w:rsid w:val="00B750A3"/>
    <w:rsid w:val="00B80E78"/>
    <w:rsid w:val="00B80F32"/>
    <w:rsid w:val="00B82E86"/>
    <w:rsid w:val="00B83D07"/>
    <w:rsid w:val="00B84AA5"/>
    <w:rsid w:val="00B933A7"/>
    <w:rsid w:val="00BA68D1"/>
    <w:rsid w:val="00BF1EC3"/>
    <w:rsid w:val="00BF46A5"/>
    <w:rsid w:val="00C04C75"/>
    <w:rsid w:val="00C06AF4"/>
    <w:rsid w:val="00C07C7D"/>
    <w:rsid w:val="00C274AF"/>
    <w:rsid w:val="00C46225"/>
    <w:rsid w:val="00C519A1"/>
    <w:rsid w:val="00C6641B"/>
    <w:rsid w:val="00C7399C"/>
    <w:rsid w:val="00C86BAA"/>
    <w:rsid w:val="00CB16F9"/>
    <w:rsid w:val="00CD0C2E"/>
    <w:rsid w:val="00CD1E23"/>
    <w:rsid w:val="00CE1624"/>
    <w:rsid w:val="00CF489B"/>
    <w:rsid w:val="00D0532D"/>
    <w:rsid w:val="00D165B0"/>
    <w:rsid w:val="00D24529"/>
    <w:rsid w:val="00D314BC"/>
    <w:rsid w:val="00D404BE"/>
    <w:rsid w:val="00D413DF"/>
    <w:rsid w:val="00D448C6"/>
    <w:rsid w:val="00D44E29"/>
    <w:rsid w:val="00D6477B"/>
    <w:rsid w:val="00D6793E"/>
    <w:rsid w:val="00D877FC"/>
    <w:rsid w:val="00D96A8E"/>
    <w:rsid w:val="00D96DC9"/>
    <w:rsid w:val="00DB7F2F"/>
    <w:rsid w:val="00DE3C33"/>
    <w:rsid w:val="00DE547A"/>
    <w:rsid w:val="00DF2863"/>
    <w:rsid w:val="00E27405"/>
    <w:rsid w:val="00E640DC"/>
    <w:rsid w:val="00E7764E"/>
    <w:rsid w:val="00E85C0B"/>
    <w:rsid w:val="00E85F97"/>
    <w:rsid w:val="00E8695A"/>
    <w:rsid w:val="00EA1905"/>
    <w:rsid w:val="00EC5711"/>
    <w:rsid w:val="00F86539"/>
    <w:rsid w:val="00FB2000"/>
    <w:rsid w:val="00FE411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71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B20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2000"/>
  </w:style>
  <w:style w:type="paragraph" w:styleId="Footer">
    <w:name w:val="footer"/>
    <w:basedOn w:val="Normal"/>
    <w:link w:val="FooterChar"/>
    <w:uiPriority w:val="99"/>
    <w:unhideWhenUsed/>
    <w:rsid w:val="00FB20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2000"/>
  </w:style>
  <w:style w:type="paragraph" w:styleId="BalloonText">
    <w:name w:val="Balloon Text"/>
    <w:basedOn w:val="Normal"/>
    <w:link w:val="BalloonTextChar"/>
    <w:uiPriority w:val="99"/>
    <w:semiHidden/>
    <w:unhideWhenUsed/>
    <w:rsid w:val="00FB20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2000"/>
    <w:rPr>
      <w:rFonts w:ascii="Tahoma" w:hAnsi="Tahoma" w:cs="Tahoma"/>
      <w:sz w:val="16"/>
      <w:szCs w:val="16"/>
    </w:rPr>
  </w:style>
  <w:style w:type="table" w:styleId="TableGrid">
    <w:name w:val="Table Grid"/>
    <w:basedOn w:val="TableNormal"/>
    <w:uiPriority w:val="59"/>
    <w:rsid w:val="005071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0712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718202">
      <w:bodyDiv w:val="1"/>
      <w:marLeft w:val="0"/>
      <w:marRight w:val="0"/>
      <w:marTop w:val="0"/>
      <w:marBottom w:val="0"/>
      <w:divBdr>
        <w:top w:val="none" w:sz="0" w:space="0" w:color="auto"/>
        <w:left w:val="none" w:sz="0" w:space="0" w:color="auto"/>
        <w:bottom w:val="none" w:sz="0" w:space="0" w:color="auto"/>
        <w:right w:val="none" w:sz="0" w:space="0" w:color="auto"/>
      </w:divBdr>
    </w:div>
    <w:div w:id="47190091">
      <w:bodyDiv w:val="1"/>
      <w:marLeft w:val="0"/>
      <w:marRight w:val="0"/>
      <w:marTop w:val="0"/>
      <w:marBottom w:val="0"/>
      <w:divBdr>
        <w:top w:val="none" w:sz="0" w:space="0" w:color="auto"/>
        <w:left w:val="none" w:sz="0" w:space="0" w:color="auto"/>
        <w:bottom w:val="none" w:sz="0" w:space="0" w:color="auto"/>
        <w:right w:val="none" w:sz="0" w:space="0" w:color="auto"/>
      </w:divBdr>
    </w:div>
    <w:div w:id="108858844">
      <w:bodyDiv w:val="1"/>
      <w:marLeft w:val="0"/>
      <w:marRight w:val="0"/>
      <w:marTop w:val="0"/>
      <w:marBottom w:val="0"/>
      <w:divBdr>
        <w:top w:val="none" w:sz="0" w:space="0" w:color="auto"/>
        <w:left w:val="none" w:sz="0" w:space="0" w:color="auto"/>
        <w:bottom w:val="none" w:sz="0" w:space="0" w:color="auto"/>
        <w:right w:val="none" w:sz="0" w:space="0" w:color="auto"/>
      </w:divBdr>
    </w:div>
    <w:div w:id="231429739">
      <w:bodyDiv w:val="1"/>
      <w:marLeft w:val="0"/>
      <w:marRight w:val="0"/>
      <w:marTop w:val="0"/>
      <w:marBottom w:val="0"/>
      <w:divBdr>
        <w:top w:val="none" w:sz="0" w:space="0" w:color="auto"/>
        <w:left w:val="none" w:sz="0" w:space="0" w:color="auto"/>
        <w:bottom w:val="none" w:sz="0" w:space="0" w:color="auto"/>
        <w:right w:val="none" w:sz="0" w:space="0" w:color="auto"/>
      </w:divBdr>
    </w:div>
    <w:div w:id="232785836">
      <w:bodyDiv w:val="1"/>
      <w:marLeft w:val="0"/>
      <w:marRight w:val="0"/>
      <w:marTop w:val="0"/>
      <w:marBottom w:val="0"/>
      <w:divBdr>
        <w:top w:val="none" w:sz="0" w:space="0" w:color="auto"/>
        <w:left w:val="none" w:sz="0" w:space="0" w:color="auto"/>
        <w:bottom w:val="none" w:sz="0" w:space="0" w:color="auto"/>
        <w:right w:val="none" w:sz="0" w:space="0" w:color="auto"/>
      </w:divBdr>
    </w:div>
    <w:div w:id="245649581">
      <w:bodyDiv w:val="1"/>
      <w:marLeft w:val="0"/>
      <w:marRight w:val="0"/>
      <w:marTop w:val="0"/>
      <w:marBottom w:val="0"/>
      <w:divBdr>
        <w:top w:val="none" w:sz="0" w:space="0" w:color="auto"/>
        <w:left w:val="none" w:sz="0" w:space="0" w:color="auto"/>
        <w:bottom w:val="none" w:sz="0" w:space="0" w:color="auto"/>
        <w:right w:val="none" w:sz="0" w:space="0" w:color="auto"/>
      </w:divBdr>
    </w:div>
    <w:div w:id="277414966">
      <w:bodyDiv w:val="1"/>
      <w:marLeft w:val="0"/>
      <w:marRight w:val="0"/>
      <w:marTop w:val="0"/>
      <w:marBottom w:val="0"/>
      <w:divBdr>
        <w:top w:val="none" w:sz="0" w:space="0" w:color="auto"/>
        <w:left w:val="none" w:sz="0" w:space="0" w:color="auto"/>
        <w:bottom w:val="none" w:sz="0" w:space="0" w:color="auto"/>
        <w:right w:val="none" w:sz="0" w:space="0" w:color="auto"/>
      </w:divBdr>
    </w:div>
    <w:div w:id="298920886">
      <w:bodyDiv w:val="1"/>
      <w:marLeft w:val="0"/>
      <w:marRight w:val="0"/>
      <w:marTop w:val="0"/>
      <w:marBottom w:val="0"/>
      <w:divBdr>
        <w:top w:val="none" w:sz="0" w:space="0" w:color="auto"/>
        <w:left w:val="none" w:sz="0" w:space="0" w:color="auto"/>
        <w:bottom w:val="none" w:sz="0" w:space="0" w:color="auto"/>
        <w:right w:val="none" w:sz="0" w:space="0" w:color="auto"/>
      </w:divBdr>
    </w:div>
    <w:div w:id="317807042">
      <w:bodyDiv w:val="1"/>
      <w:marLeft w:val="0"/>
      <w:marRight w:val="0"/>
      <w:marTop w:val="0"/>
      <w:marBottom w:val="0"/>
      <w:divBdr>
        <w:top w:val="none" w:sz="0" w:space="0" w:color="auto"/>
        <w:left w:val="none" w:sz="0" w:space="0" w:color="auto"/>
        <w:bottom w:val="none" w:sz="0" w:space="0" w:color="auto"/>
        <w:right w:val="none" w:sz="0" w:space="0" w:color="auto"/>
      </w:divBdr>
    </w:div>
    <w:div w:id="321616428">
      <w:bodyDiv w:val="1"/>
      <w:marLeft w:val="0"/>
      <w:marRight w:val="0"/>
      <w:marTop w:val="0"/>
      <w:marBottom w:val="0"/>
      <w:divBdr>
        <w:top w:val="none" w:sz="0" w:space="0" w:color="auto"/>
        <w:left w:val="none" w:sz="0" w:space="0" w:color="auto"/>
        <w:bottom w:val="none" w:sz="0" w:space="0" w:color="auto"/>
        <w:right w:val="none" w:sz="0" w:space="0" w:color="auto"/>
      </w:divBdr>
    </w:div>
    <w:div w:id="422382800">
      <w:bodyDiv w:val="1"/>
      <w:marLeft w:val="0"/>
      <w:marRight w:val="0"/>
      <w:marTop w:val="0"/>
      <w:marBottom w:val="0"/>
      <w:divBdr>
        <w:top w:val="none" w:sz="0" w:space="0" w:color="auto"/>
        <w:left w:val="none" w:sz="0" w:space="0" w:color="auto"/>
        <w:bottom w:val="none" w:sz="0" w:space="0" w:color="auto"/>
        <w:right w:val="none" w:sz="0" w:space="0" w:color="auto"/>
      </w:divBdr>
    </w:div>
    <w:div w:id="430050662">
      <w:bodyDiv w:val="1"/>
      <w:marLeft w:val="0"/>
      <w:marRight w:val="0"/>
      <w:marTop w:val="0"/>
      <w:marBottom w:val="0"/>
      <w:divBdr>
        <w:top w:val="none" w:sz="0" w:space="0" w:color="auto"/>
        <w:left w:val="none" w:sz="0" w:space="0" w:color="auto"/>
        <w:bottom w:val="none" w:sz="0" w:space="0" w:color="auto"/>
        <w:right w:val="none" w:sz="0" w:space="0" w:color="auto"/>
      </w:divBdr>
    </w:div>
    <w:div w:id="534149531">
      <w:bodyDiv w:val="1"/>
      <w:marLeft w:val="0"/>
      <w:marRight w:val="0"/>
      <w:marTop w:val="0"/>
      <w:marBottom w:val="0"/>
      <w:divBdr>
        <w:top w:val="none" w:sz="0" w:space="0" w:color="auto"/>
        <w:left w:val="none" w:sz="0" w:space="0" w:color="auto"/>
        <w:bottom w:val="none" w:sz="0" w:space="0" w:color="auto"/>
        <w:right w:val="none" w:sz="0" w:space="0" w:color="auto"/>
      </w:divBdr>
    </w:div>
    <w:div w:id="582641475">
      <w:bodyDiv w:val="1"/>
      <w:marLeft w:val="0"/>
      <w:marRight w:val="0"/>
      <w:marTop w:val="0"/>
      <w:marBottom w:val="0"/>
      <w:divBdr>
        <w:top w:val="none" w:sz="0" w:space="0" w:color="auto"/>
        <w:left w:val="none" w:sz="0" w:space="0" w:color="auto"/>
        <w:bottom w:val="none" w:sz="0" w:space="0" w:color="auto"/>
        <w:right w:val="none" w:sz="0" w:space="0" w:color="auto"/>
      </w:divBdr>
    </w:div>
    <w:div w:id="735511952">
      <w:bodyDiv w:val="1"/>
      <w:marLeft w:val="0"/>
      <w:marRight w:val="0"/>
      <w:marTop w:val="0"/>
      <w:marBottom w:val="0"/>
      <w:divBdr>
        <w:top w:val="none" w:sz="0" w:space="0" w:color="auto"/>
        <w:left w:val="none" w:sz="0" w:space="0" w:color="auto"/>
        <w:bottom w:val="none" w:sz="0" w:space="0" w:color="auto"/>
        <w:right w:val="none" w:sz="0" w:space="0" w:color="auto"/>
      </w:divBdr>
    </w:div>
    <w:div w:id="740324000">
      <w:bodyDiv w:val="1"/>
      <w:marLeft w:val="0"/>
      <w:marRight w:val="0"/>
      <w:marTop w:val="0"/>
      <w:marBottom w:val="0"/>
      <w:divBdr>
        <w:top w:val="none" w:sz="0" w:space="0" w:color="auto"/>
        <w:left w:val="none" w:sz="0" w:space="0" w:color="auto"/>
        <w:bottom w:val="none" w:sz="0" w:space="0" w:color="auto"/>
        <w:right w:val="none" w:sz="0" w:space="0" w:color="auto"/>
      </w:divBdr>
    </w:div>
    <w:div w:id="813251949">
      <w:bodyDiv w:val="1"/>
      <w:marLeft w:val="0"/>
      <w:marRight w:val="0"/>
      <w:marTop w:val="0"/>
      <w:marBottom w:val="0"/>
      <w:divBdr>
        <w:top w:val="none" w:sz="0" w:space="0" w:color="auto"/>
        <w:left w:val="none" w:sz="0" w:space="0" w:color="auto"/>
        <w:bottom w:val="none" w:sz="0" w:space="0" w:color="auto"/>
        <w:right w:val="none" w:sz="0" w:space="0" w:color="auto"/>
      </w:divBdr>
    </w:div>
    <w:div w:id="823816918">
      <w:bodyDiv w:val="1"/>
      <w:marLeft w:val="0"/>
      <w:marRight w:val="0"/>
      <w:marTop w:val="0"/>
      <w:marBottom w:val="0"/>
      <w:divBdr>
        <w:top w:val="none" w:sz="0" w:space="0" w:color="auto"/>
        <w:left w:val="none" w:sz="0" w:space="0" w:color="auto"/>
        <w:bottom w:val="none" w:sz="0" w:space="0" w:color="auto"/>
        <w:right w:val="none" w:sz="0" w:space="0" w:color="auto"/>
      </w:divBdr>
    </w:div>
    <w:div w:id="859274343">
      <w:bodyDiv w:val="1"/>
      <w:marLeft w:val="0"/>
      <w:marRight w:val="0"/>
      <w:marTop w:val="0"/>
      <w:marBottom w:val="0"/>
      <w:divBdr>
        <w:top w:val="none" w:sz="0" w:space="0" w:color="auto"/>
        <w:left w:val="none" w:sz="0" w:space="0" w:color="auto"/>
        <w:bottom w:val="none" w:sz="0" w:space="0" w:color="auto"/>
        <w:right w:val="none" w:sz="0" w:space="0" w:color="auto"/>
      </w:divBdr>
    </w:div>
    <w:div w:id="881595207">
      <w:bodyDiv w:val="1"/>
      <w:marLeft w:val="0"/>
      <w:marRight w:val="0"/>
      <w:marTop w:val="0"/>
      <w:marBottom w:val="0"/>
      <w:divBdr>
        <w:top w:val="none" w:sz="0" w:space="0" w:color="auto"/>
        <w:left w:val="none" w:sz="0" w:space="0" w:color="auto"/>
        <w:bottom w:val="none" w:sz="0" w:space="0" w:color="auto"/>
        <w:right w:val="none" w:sz="0" w:space="0" w:color="auto"/>
      </w:divBdr>
    </w:div>
    <w:div w:id="938835081">
      <w:bodyDiv w:val="1"/>
      <w:marLeft w:val="0"/>
      <w:marRight w:val="0"/>
      <w:marTop w:val="0"/>
      <w:marBottom w:val="0"/>
      <w:divBdr>
        <w:top w:val="none" w:sz="0" w:space="0" w:color="auto"/>
        <w:left w:val="none" w:sz="0" w:space="0" w:color="auto"/>
        <w:bottom w:val="none" w:sz="0" w:space="0" w:color="auto"/>
        <w:right w:val="none" w:sz="0" w:space="0" w:color="auto"/>
      </w:divBdr>
    </w:div>
    <w:div w:id="981151647">
      <w:bodyDiv w:val="1"/>
      <w:marLeft w:val="0"/>
      <w:marRight w:val="0"/>
      <w:marTop w:val="0"/>
      <w:marBottom w:val="0"/>
      <w:divBdr>
        <w:top w:val="none" w:sz="0" w:space="0" w:color="auto"/>
        <w:left w:val="none" w:sz="0" w:space="0" w:color="auto"/>
        <w:bottom w:val="none" w:sz="0" w:space="0" w:color="auto"/>
        <w:right w:val="none" w:sz="0" w:space="0" w:color="auto"/>
      </w:divBdr>
    </w:div>
    <w:div w:id="1004625540">
      <w:bodyDiv w:val="1"/>
      <w:marLeft w:val="0"/>
      <w:marRight w:val="0"/>
      <w:marTop w:val="0"/>
      <w:marBottom w:val="0"/>
      <w:divBdr>
        <w:top w:val="none" w:sz="0" w:space="0" w:color="auto"/>
        <w:left w:val="none" w:sz="0" w:space="0" w:color="auto"/>
        <w:bottom w:val="none" w:sz="0" w:space="0" w:color="auto"/>
        <w:right w:val="none" w:sz="0" w:space="0" w:color="auto"/>
      </w:divBdr>
    </w:div>
    <w:div w:id="1020550223">
      <w:bodyDiv w:val="1"/>
      <w:marLeft w:val="0"/>
      <w:marRight w:val="0"/>
      <w:marTop w:val="0"/>
      <w:marBottom w:val="0"/>
      <w:divBdr>
        <w:top w:val="none" w:sz="0" w:space="0" w:color="auto"/>
        <w:left w:val="none" w:sz="0" w:space="0" w:color="auto"/>
        <w:bottom w:val="none" w:sz="0" w:space="0" w:color="auto"/>
        <w:right w:val="none" w:sz="0" w:space="0" w:color="auto"/>
      </w:divBdr>
    </w:div>
    <w:div w:id="1057439366">
      <w:bodyDiv w:val="1"/>
      <w:marLeft w:val="0"/>
      <w:marRight w:val="0"/>
      <w:marTop w:val="0"/>
      <w:marBottom w:val="0"/>
      <w:divBdr>
        <w:top w:val="none" w:sz="0" w:space="0" w:color="auto"/>
        <w:left w:val="none" w:sz="0" w:space="0" w:color="auto"/>
        <w:bottom w:val="none" w:sz="0" w:space="0" w:color="auto"/>
        <w:right w:val="none" w:sz="0" w:space="0" w:color="auto"/>
      </w:divBdr>
    </w:div>
    <w:div w:id="1061714059">
      <w:bodyDiv w:val="1"/>
      <w:marLeft w:val="0"/>
      <w:marRight w:val="0"/>
      <w:marTop w:val="0"/>
      <w:marBottom w:val="0"/>
      <w:divBdr>
        <w:top w:val="none" w:sz="0" w:space="0" w:color="auto"/>
        <w:left w:val="none" w:sz="0" w:space="0" w:color="auto"/>
        <w:bottom w:val="none" w:sz="0" w:space="0" w:color="auto"/>
        <w:right w:val="none" w:sz="0" w:space="0" w:color="auto"/>
      </w:divBdr>
    </w:div>
    <w:div w:id="1065647108">
      <w:bodyDiv w:val="1"/>
      <w:marLeft w:val="0"/>
      <w:marRight w:val="0"/>
      <w:marTop w:val="0"/>
      <w:marBottom w:val="0"/>
      <w:divBdr>
        <w:top w:val="none" w:sz="0" w:space="0" w:color="auto"/>
        <w:left w:val="none" w:sz="0" w:space="0" w:color="auto"/>
        <w:bottom w:val="none" w:sz="0" w:space="0" w:color="auto"/>
        <w:right w:val="none" w:sz="0" w:space="0" w:color="auto"/>
      </w:divBdr>
    </w:div>
    <w:div w:id="1224834474">
      <w:bodyDiv w:val="1"/>
      <w:marLeft w:val="0"/>
      <w:marRight w:val="0"/>
      <w:marTop w:val="0"/>
      <w:marBottom w:val="0"/>
      <w:divBdr>
        <w:top w:val="none" w:sz="0" w:space="0" w:color="auto"/>
        <w:left w:val="none" w:sz="0" w:space="0" w:color="auto"/>
        <w:bottom w:val="none" w:sz="0" w:space="0" w:color="auto"/>
        <w:right w:val="none" w:sz="0" w:space="0" w:color="auto"/>
      </w:divBdr>
    </w:div>
    <w:div w:id="1259361921">
      <w:bodyDiv w:val="1"/>
      <w:marLeft w:val="0"/>
      <w:marRight w:val="0"/>
      <w:marTop w:val="0"/>
      <w:marBottom w:val="0"/>
      <w:divBdr>
        <w:top w:val="none" w:sz="0" w:space="0" w:color="auto"/>
        <w:left w:val="none" w:sz="0" w:space="0" w:color="auto"/>
        <w:bottom w:val="none" w:sz="0" w:space="0" w:color="auto"/>
        <w:right w:val="none" w:sz="0" w:space="0" w:color="auto"/>
      </w:divBdr>
    </w:div>
    <w:div w:id="1343777714">
      <w:bodyDiv w:val="1"/>
      <w:marLeft w:val="0"/>
      <w:marRight w:val="0"/>
      <w:marTop w:val="0"/>
      <w:marBottom w:val="0"/>
      <w:divBdr>
        <w:top w:val="none" w:sz="0" w:space="0" w:color="auto"/>
        <w:left w:val="none" w:sz="0" w:space="0" w:color="auto"/>
        <w:bottom w:val="none" w:sz="0" w:space="0" w:color="auto"/>
        <w:right w:val="none" w:sz="0" w:space="0" w:color="auto"/>
      </w:divBdr>
    </w:div>
    <w:div w:id="1403328508">
      <w:bodyDiv w:val="1"/>
      <w:marLeft w:val="0"/>
      <w:marRight w:val="0"/>
      <w:marTop w:val="0"/>
      <w:marBottom w:val="0"/>
      <w:divBdr>
        <w:top w:val="none" w:sz="0" w:space="0" w:color="auto"/>
        <w:left w:val="none" w:sz="0" w:space="0" w:color="auto"/>
        <w:bottom w:val="none" w:sz="0" w:space="0" w:color="auto"/>
        <w:right w:val="none" w:sz="0" w:space="0" w:color="auto"/>
      </w:divBdr>
    </w:div>
    <w:div w:id="1527256951">
      <w:bodyDiv w:val="1"/>
      <w:marLeft w:val="0"/>
      <w:marRight w:val="0"/>
      <w:marTop w:val="0"/>
      <w:marBottom w:val="0"/>
      <w:divBdr>
        <w:top w:val="none" w:sz="0" w:space="0" w:color="auto"/>
        <w:left w:val="none" w:sz="0" w:space="0" w:color="auto"/>
        <w:bottom w:val="none" w:sz="0" w:space="0" w:color="auto"/>
        <w:right w:val="none" w:sz="0" w:space="0" w:color="auto"/>
      </w:divBdr>
    </w:div>
    <w:div w:id="1663005093">
      <w:bodyDiv w:val="1"/>
      <w:marLeft w:val="0"/>
      <w:marRight w:val="0"/>
      <w:marTop w:val="0"/>
      <w:marBottom w:val="0"/>
      <w:divBdr>
        <w:top w:val="none" w:sz="0" w:space="0" w:color="auto"/>
        <w:left w:val="none" w:sz="0" w:space="0" w:color="auto"/>
        <w:bottom w:val="none" w:sz="0" w:space="0" w:color="auto"/>
        <w:right w:val="none" w:sz="0" w:space="0" w:color="auto"/>
      </w:divBdr>
    </w:div>
    <w:div w:id="1717966599">
      <w:bodyDiv w:val="1"/>
      <w:marLeft w:val="0"/>
      <w:marRight w:val="0"/>
      <w:marTop w:val="0"/>
      <w:marBottom w:val="0"/>
      <w:divBdr>
        <w:top w:val="none" w:sz="0" w:space="0" w:color="auto"/>
        <w:left w:val="none" w:sz="0" w:space="0" w:color="auto"/>
        <w:bottom w:val="none" w:sz="0" w:space="0" w:color="auto"/>
        <w:right w:val="none" w:sz="0" w:space="0" w:color="auto"/>
      </w:divBdr>
    </w:div>
    <w:div w:id="1740901768">
      <w:bodyDiv w:val="1"/>
      <w:marLeft w:val="0"/>
      <w:marRight w:val="0"/>
      <w:marTop w:val="0"/>
      <w:marBottom w:val="0"/>
      <w:divBdr>
        <w:top w:val="none" w:sz="0" w:space="0" w:color="auto"/>
        <w:left w:val="none" w:sz="0" w:space="0" w:color="auto"/>
        <w:bottom w:val="none" w:sz="0" w:space="0" w:color="auto"/>
        <w:right w:val="none" w:sz="0" w:space="0" w:color="auto"/>
      </w:divBdr>
    </w:div>
    <w:div w:id="1839729348">
      <w:bodyDiv w:val="1"/>
      <w:marLeft w:val="0"/>
      <w:marRight w:val="0"/>
      <w:marTop w:val="0"/>
      <w:marBottom w:val="0"/>
      <w:divBdr>
        <w:top w:val="none" w:sz="0" w:space="0" w:color="auto"/>
        <w:left w:val="none" w:sz="0" w:space="0" w:color="auto"/>
        <w:bottom w:val="none" w:sz="0" w:space="0" w:color="auto"/>
        <w:right w:val="none" w:sz="0" w:space="0" w:color="auto"/>
      </w:divBdr>
    </w:div>
    <w:div w:id="1874538208">
      <w:bodyDiv w:val="1"/>
      <w:marLeft w:val="0"/>
      <w:marRight w:val="0"/>
      <w:marTop w:val="0"/>
      <w:marBottom w:val="0"/>
      <w:divBdr>
        <w:top w:val="none" w:sz="0" w:space="0" w:color="auto"/>
        <w:left w:val="none" w:sz="0" w:space="0" w:color="auto"/>
        <w:bottom w:val="none" w:sz="0" w:space="0" w:color="auto"/>
        <w:right w:val="none" w:sz="0" w:space="0" w:color="auto"/>
      </w:divBdr>
    </w:div>
    <w:div w:id="1936210080">
      <w:bodyDiv w:val="1"/>
      <w:marLeft w:val="0"/>
      <w:marRight w:val="0"/>
      <w:marTop w:val="0"/>
      <w:marBottom w:val="0"/>
      <w:divBdr>
        <w:top w:val="none" w:sz="0" w:space="0" w:color="auto"/>
        <w:left w:val="none" w:sz="0" w:space="0" w:color="auto"/>
        <w:bottom w:val="none" w:sz="0" w:space="0" w:color="auto"/>
        <w:right w:val="none" w:sz="0" w:space="0" w:color="auto"/>
      </w:divBdr>
    </w:div>
    <w:div w:id="1939680936">
      <w:bodyDiv w:val="1"/>
      <w:marLeft w:val="0"/>
      <w:marRight w:val="0"/>
      <w:marTop w:val="0"/>
      <w:marBottom w:val="0"/>
      <w:divBdr>
        <w:top w:val="none" w:sz="0" w:space="0" w:color="auto"/>
        <w:left w:val="none" w:sz="0" w:space="0" w:color="auto"/>
        <w:bottom w:val="none" w:sz="0" w:space="0" w:color="auto"/>
        <w:right w:val="none" w:sz="0" w:space="0" w:color="auto"/>
      </w:divBdr>
    </w:div>
    <w:div w:id="2013296827">
      <w:bodyDiv w:val="1"/>
      <w:marLeft w:val="0"/>
      <w:marRight w:val="0"/>
      <w:marTop w:val="0"/>
      <w:marBottom w:val="0"/>
      <w:divBdr>
        <w:top w:val="none" w:sz="0" w:space="0" w:color="auto"/>
        <w:left w:val="none" w:sz="0" w:space="0" w:color="auto"/>
        <w:bottom w:val="none" w:sz="0" w:space="0" w:color="auto"/>
        <w:right w:val="none" w:sz="0" w:space="0" w:color="auto"/>
      </w:divBdr>
    </w:div>
    <w:div w:id="2045712507">
      <w:bodyDiv w:val="1"/>
      <w:marLeft w:val="0"/>
      <w:marRight w:val="0"/>
      <w:marTop w:val="0"/>
      <w:marBottom w:val="0"/>
      <w:divBdr>
        <w:top w:val="none" w:sz="0" w:space="0" w:color="auto"/>
        <w:left w:val="none" w:sz="0" w:space="0" w:color="auto"/>
        <w:bottom w:val="none" w:sz="0" w:space="0" w:color="auto"/>
        <w:right w:val="none" w:sz="0" w:space="0" w:color="auto"/>
      </w:divBdr>
    </w:div>
    <w:div w:id="2056271805">
      <w:bodyDiv w:val="1"/>
      <w:marLeft w:val="0"/>
      <w:marRight w:val="0"/>
      <w:marTop w:val="0"/>
      <w:marBottom w:val="0"/>
      <w:divBdr>
        <w:top w:val="none" w:sz="0" w:space="0" w:color="auto"/>
        <w:left w:val="none" w:sz="0" w:space="0" w:color="auto"/>
        <w:bottom w:val="none" w:sz="0" w:space="0" w:color="auto"/>
        <w:right w:val="none" w:sz="0" w:space="0" w:color="auto"/>
      </w:divBdr>
    </w:div>
    <w:div w:id="2135128227">
      <w:bodyDiv w:val="1"/>
      <w:marLeft w:val="0"/>
      <w:marRight w:val="0"/>
      <w:marTop w:val="0"/>
      <w:marBottom w:val="0"/>
      <w:divBdr>
        <w:top w:val="none" w:sz="0" w:space="0" w:color="auto"/>
        <w:left w:val="none" w:sz="0" w:space="0" w:color="auto"/>
        <w:bottom w:val="none" w:sz="0" w:space="0" w:color="auto"/>
        <w:right w:val="none" w:sz="0" w:space="0" w:color="auto"/>
      </w:divBdr>
    </w:div>
    <w:div w:id="2140217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illan\Desktop\Fact%20Sheet%20-%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8DFFA-1E80-4A59-AF46-8EE69AD65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Fact Sheet - Template.dotx</Template>
  <TotalTime>23</TotalTime>
  <Pages>8</Pages>
  <Words>1785</Words>
  <Characters>10181</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ABS</Company>
  <LinksUpToDate>false</LinksUpToDate>
  <CharactersWithSpaces>11943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Sillis</dc:creator>
  <cp:lastModifiedBy>Aniek Suharyati</cp:lastModifiedBy>
  <cp:revision>7</cp:revision>
  <cp:lastPrinted>2012-10-10T20:24:00Z</cp:lastPrinted>
  <dcterms:created xsi:type="dcterms:W3CDTF">2012-10-19T03:15:00Z</dcterms:created>
  <dcterms:modified xsi:type="dcterms:W3CDTF">2012-10-22T04:35:00Z</dcterms:modified>
</cp:coreProperties>
</file>